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17" w:rsidRPr="00810F09" w:rsidRDefault="00760FE4" w:rsidP="00810F09">
      <w:pPr>
        <w:pStyle w:val="Heading2"/>
      </w:pPr>
      <w:r w:rsidRPr="00810F09">
        <w:t xml:space="preserve">The Coronavirus Job </w:t>
      </w:r>
      <w:r w:rsidR="00CA6AF7" w:rsidRPr="00810F09">
        <w:t>Retention</w:t>
      </w:r>
      <w:r w:rsidRPr="00810F09">
        <w:t xml:space="preserve"> Scheme </w:t>
      </w:r>
      <w:r w:rsidR="00E95E1F" w:rsidRPr="00810F09">
        <w:t xml:space="preserve">(CJRS) </w:t>
      </w:r>
      <w:r w:rsidRPr="00810F09">
        <w:t>- FAQs</w:t>
      </w:r>
    </w:p>
    <w:p w:rsidR="006C1D4C" w:rsidRPr="00810F09" w:rsidRDefault="006C1D4C" w:rsidP="00810F09">
      <w:pPr>
        <w:pStyle w:val="Heading3"/>
        <w:spacing w:line="276" w:lineRule="auto"/>
        <w:rPr>
          <w:rFonts w:ascii="DIN Light" w:hAnsi="DIN Light"/>
          <w:color w:val="404040" w:themeColor="text1" w:themeTint="BF"/>
          <w:sz w:val="20"/>
          <w:szCs w:val="20"/>
        </w:rPr>
      </w:pPr>
    </w:p>
    <w:p w:rsidR="006C1D4C" w:rsidRPr="00810F09" w:rsidRDefault="006C1D4C" w:rsidP="00810F09">
      <w:pPr>
        <w:pStyle w:val="Heading3"/>
      </w:pPr>
      <w:r w:rsidRPr="00810F09">
        <w:t xml:space="preserve">Information available as at </w:t>
      </w:r>
      <w:r w:rsidR="00810F09" w:rsidRPr="00810F09">
        <w:t>31</w:t>
      </w:r>
      <w:r w:rsidRPr="00810F09">
        <w:t xml:space="preserve"> March 2020</w:t>
      </w:r>
    </w:p>
    <w:p w:rsidR="00810F09" w:rsidRPr="00810F09" w:rsidRDefault="00917376" w:rsidP="00810F09">
      <w:pPr>
        <w:pStyle w:val="Heading3"/>
        <w:rPr>
          <w:rFonts w:eastAsia="Times New Roman"/>
        </w:rPr>
      </w:pPr>
      <w:r w:rsidRPr="00810F09">
        <w:br/>
      </w:r>
      <w:r w:rsidR="00810F09" w:rsidRPr="00810F09">
        <w:rPr>
          <w:rFonts w:eastAsia="Times New Roman"/>
        </w:rPr>
        <w:t>Q13: Which employees can we claim for?</w:t>
      </w: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t xml:space="preserve">Furloughed employees must have been </w:t>
      </w:r>
      <w:r w:rsidRPr="00810F09">
        <w:rPr>
          <w:rFonts w:eastAsia="Times New Roman" w:cs="Arial"/>
          <w:b/>
          <w:bCs/>
          <w:szCs w:val="20"/>
          <w:lang w:val="en-US"/>
        </w:rPr>
        <w:t>on your PAYE payroll on 28 February 2020</w:t>
      </w:r>
      <w:r w:rsidRPr="00810F09">
        <w:rPr>
          <w:rFonts w:eastAsia="Times New Roman" w:cs="Arial"/>
          <w:szCs w:val="20"/>
          <w:lang w:val="en-US"/>
        </w:rPr>
        <w:t>, and can be on any type of contract, including:</w:t>
      </w:r>
    </w:p>
    <w:p w:rsidR="00810F09" w:rsidRPr="00810F09" w:rsidRDefault="00810F09" w:rsidP="00810F09">
      <w:pPr>
        <w:numPr>
          <w:ilvl w:val="0"/>
          <w:numId w:val="35"/>
        </w:numPr>
        <w:spacing w:after="0"/>
        <w:rPr>
          <w:rFonts w:eastAsia="Times New Roman" w:cs="Arial"/>
          <w:szCs w:val="20"/>
          <w:lang w:val="en-US"/>
        </w:rPr>
      </w:pPr>
      <w:r w:rsidRPr="00810F09">
        <w:rPr>
          <w:rFonts w:eastAsia="Times New Roman" w:cs="Arial"/>
          <w:szCs w:val="20"/>
          <w:lang w:val="en-US"/>
        </w:rPr>
        <w:t>full-time employees</w:t>
      </w:r>
    </w:p>
    <w:p w:rsidR="00810F09" w:rsidRPr="00810F09" w:rsidRDefault="00810F09" w:rsidP="00810F09">
      <w:pPr>
        <w:numPr>
          <w:ilvl w:val="0"/>
          <w:numId w:val="35"/>
        </w:numPr>
        <w:spacing w:after="0"/>
        <w:rPr>
          <w:rFonts w:eastAsia="Times New Roman" w:cs="Arial"/>
          <w:szCs w:val="20"/>
          <w:lang w:val="en-US"/>
        </w:rPr>
      </w:pPr>
      <w:r w:rsidRPr="00810F09">
        <w:rPr>
          <w:rFonts w:eastAsia="Times New Roman" w:cs="Arial"/>
          <w:szCs w:val="20"/>
          <w:lang w:val="en-US"/>
        </w:rPr>
        <w:t>part-time employees</w:t>
      </w:r>
    </w:p>
    <w:p w:rsidR="00810F09" w:rsidRPr="00810F09" w:rsidRDefault="00810F09" w:rsidP="00810F09">
      <w:pPr>
        <w:numPr>
          <w:ilvl w:val="0"/>
          <w:numId w:val="35"/>
        </w:numPr>
        <w:spacing w:after="0"/>
        <w:rPr>
          <w:rFonts w:eastAsia="Times New Roman" w:cs="Arial"/>
          <w:szCs w:val="20"/>
          <w:lang w:val="en-US"/>
        </w:rPr>
      </w:pPr>
      <w:r w:rsidRPr="00810F09">
        <w:rPr>
          <w:rFonts w:eastAsia="Times New Roman" w:cs="Arial"/>
          <w:szCs w:val="20"/>
          <w:lang w:val="en-US"/>
        </w:rPr>
        <w:t>employees on agency contracts</w:t>
      </w:r>
    </w:p>
    <w:p w:rsidR="00810F09" w:rsidRPr="00810F09" w:rsidRDefault="00810F09" w:rsidP="00810F09">
      <w:pPr>
        <w:numPr>
          <w:ilvl w:val="0"/>
          <w:numId w:val="35"/>
        </w:numPr>
        <w:rPr>
          <w:rFonts w:eastAsia="Times New Roman" w:cs="Arial"/>
          <w:szCs w:val="20"/>
          <w:lang w:val="en-US"/>
        </w:rPr>
      </w:pPr>
      <w:r w:rsidRPr="00810F09">
        <w:rPr>
          <w:rFonts w:eastAsia="Times New Roman" w:cs="Arial"/>
          <w:szCs w:val="20"/>
          <w:lang w:val="en-US"/>
        </w:rPr>
        <w:t>employees on flexible or zero-hour contracts</w:t>
      </w:r>
    </w:p>
    <w:p w:rsidR="00810F09" w:rsidRDefault="00810F09" w:rsidP="00810F09">
      <w:pPr>
        <w:spacing w:after="0"/>
        <w:rPr>
          <w:rFonts w:eastAsia="Times New Roman" w:cs="Arial"/>
          <w:szCs w:val="20"/>
          <w:lang w:val="en-US"/>
        </w:rPr>
      </w:pPr>
      <w:r w:rsidRPr="00810F09">
        <w:rPr>
          <w:rFonts w:eastAsia="Times New Roman" w:cs="Arial"/>
          <w:szCs w:val="20"/>
          <w:lang w:val="en-US"/>
        </w:rPr>
        <w:t>The scheme also covers employees who were made redundant since 28 February 2020, if they are rehired by their employer.</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To be eligible for the subsidy, when on furlough, an employee can not undertake work for or on behalf of the organisation. This includes providing services or generating revenue. While on furlough, the employee’s wage will be subject to usual income tax and other deductions.</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This scheme is only for employees on agency contracts who are not working.</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Employers should discuss with their staff and make any changes to the employment contract by agreement. When employers are making decisions in relation to the process, including deciding who to offer furlough to, equality and discrimination laws will apply in the usual way.</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To be eligible for the subsidy employers should write to their employee confirming that they have been furloughed and keep a record of this communication.</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You do not need to place all your employees on furlough. However, those employees who you do place on furlough cannot undertake work for you.</w:t>
      </w:r>
    </w:p>
    <w:p w:rsidR="00810F09" w:rsidRPr="00810F09" w:rsidRDefault="00810F09" w:rsidP="00810F09">
      <w:pPr>
        <w:pStyle w:val="Heading3"/>
        <w:rPr>
          <w:rFonts w:eastAsia="Times New Roman"/>
          <w:lang w:val="en-US"/>
        </w:rPr>
      </w:pPr>
      <w:r w:rsidRPr="00810F09">
        <w:rPr>
          <w:rFonts w:eastAsia="Times New Roman"/>
          <w:lang w:val="en-US"/>
        </w:rPr>
        <w:t>Q14:  Which employees are not eligible?</w:t>
      </w:r>
    </w:p>
    <w:p w:rsidR="00810F09" w:rsidRDefault="00810F09" w:rsidP="00810F09">
      <w:pPr>
        <w:spacing w:after="0"/>
        <w:rPr>
          <w:rFonts w:eastAsia="Times New Roman" w:cs="Arial"/>
          <w:szCs w:val="20"/>
          <w:lang w:val="en-US"/>
        </w:rPr>
      </w:pPr>
      <w:r w:rsidRPr="00810F09">
        <w:rPr>
          <w:rFonts w:eastAsia="Times New Roman" w:cs="Arial"/>
          <w:szCs w:val="20"/>
          <w:lang w:val="en-US"/>
        </w:rPr>
        <w:t>Employees hired after 28 February 2020 cannot be furloughed or claimed for in accordance with this scheme.</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If an employee is working, but on reduced hours, or for reduced pay, they will not be eligible for this scheme and you will have to continue paying the employee through your payroll and pay their salary subject to the terms of the employment contract you agreed.</w:t>
      </w:r>
    </w:p>
    <w:p w:rsidR="00810F09" w:rsidRPr="00810F09" w:rsidRDefault="00810F09" w:rsidP="00810F09">
      <w:pPr>
        <w:pStyle w:val="Heading3"/>
        <w:rPr>
          <w:lang w:val="en-US" w:eastAsia="en-US"/>
        </w:rPr>
      </w:pPr>
      <w:r w:rsidRPr="00810F09">
        <w:rPr>
          <w:lang w:val="en-US" w:eastAsia="en-US"/>
        </w:rPr>
        <w:t>Q15: What if employees are on unpaid leave?</w:t>
      </w:r>
    </w:p>
    <w:p w:rsidR="00810F09" w:rsidRPr="00810F09" w:rsidRDefault="00810F09" w:rsidP="00810F09">
      <w:pPr>
        <w:rPr>
          <w:rFonts w:eastAsia="Times New Roman" w:cs="Arial"/>
          <w:szCs w:val="20"/>
          <w:lang w:val="en-US"/>
        </w:rPr>
      </w:pPr>
      <w:r w:rsidRPr="00810F09">
        <w:rPr>
          <w:rFonts w:eastAsia="Times New Roman" w:cs="Arial"/>
          <w:szCs w:val="20"/>
          <w:lang w:val="en-US"/>
        </w:rPr>
        <w:t>Employees on unpaid leave cannot be furloughed, unless they were placed on unpaid leave after 28 February.</w:t>
      </w:r>
    </w:p>
    <w:p w:rsidR="00810F09" w:rsidRPr="00810F09" w:rsidRDefault="00810F09" w:rsidP="00810F09">
      <w:pPr>
        <w:pStyle w:val="Heading3"/>
        <w:rPr>
          <w:lang w:val="en-US" w:eastAsia="en-US"/>
        </w:rPr>
      </w:pPr>
      <w:r w:rsidRPr="00810F09">
        <w:rPr>
          <w:lang w:val="en-US" w:eastAsia="en-US"/>
        </w:rPr>
        <w:t>Q16:  What about employees on Statutory Sick Pay?</w:t>
      </w:r>
    </w:p>
    <w:p w:rsidR="00810F09" w:rsidRPr="00810F09" w:rsidRDefault="00810F09" w:rsidP="009A547C">
      <w:pPr>
        <w:rPr>
          <w:rFonts w:eastAsia="Times New Roman" w:cs="Arial"/>
          <w:szCs w:val="20"/>
          <w:lang w:val="en-US"/>
        </w:rPr>
      </w:pPr>
      <w:r w:rsidRPr="00810F09">
        <w:rPr>
          <w:rFonts w:eastAsia="Times New Roman" w:cs="Arial"/>
          <w:szCs w:val="20"/>
          <w:lang w:val="en-US"/>
        </w:rPr>
        <w:t>Employees on sick leave or self-isolating should get Statutory Sick Pay, but can be furloughed after this.</w:t>
      </w:r>
      <w:r w:rsidR="009A547C">
        <w:rPr>
          <w:rFonts w:eastAsia="Times New Roman" w:cs="Arial"/>
          <w:szCs w:val="20"/>
          <w:lang w:val="en-US"/>
        </w:rPr>
        <w:t xml:space="preserve"> </w:t>
      </w:r>
      <w:r w:rsidRPr="00810F09">
        <w:rPr>
          <w:rFonts w:eastAsia="Times New Roman" w:cs="Arial"/>
          <w:szCs w:val="20"/>
          <w:lang w:val="en-US"/>
        </w:rPr>
        <w:t>Employees who are shielding in line with public health guidance can be placed on furlough.</w:t>
      </w:r>
    </w:p>
    <w:p w:rsidR="00810F09" w:rsidRPr="00810F09" w:rsidRDefault="00810F09" w:rsidP="00810F09">
      <w:pPr>
        <w:pStyle w:val="Heading3"/>
        <w:rPr>
          <w:lang w:val="en-US"/>
        </w:rPr>
      </w:pPr>
      <w:r w:rsidRPr="00810F09">
        <w:rPr>
          <w:lang w:val="en-US"/>
        </w:rPr>
        <w:lastRenderedPageBreak/>
        <w:t>Q17: What if an employee has more than one job?</w:t>
      </w:r>
    </w:p>
    <w:p w:rsidR="00810F09" w:rsidRPr="00810F09" w:rsidRDefault="00810F09" w:rsidP="00810F09">
      <w:pPr>
        <w:rPr>
          <w:rFonts w:eastAsia="Times New Roman" w:cs="Arial"/>
          <w:szCs w:val="20"/>
          <w:lang w:val="en-US"/>
        </w:rPr>
      </w:pPr>
      <w:r w:rsidRPr="00810F09">
        <w:rPr>
          <w:rFonts w:eastAsia="Times New Roman" w:cs="Arial"/>
          <w:szCs w:val="20"/>
          <w:lang w:val="en-US"/>
        </w:rPr>
        <w:t>If your employee has more than one employer they can be furloughed for each job. Each job is separate, and the cap applies to each employer individually.</w:t>
      </w:r>
    </w:p>
    <w:p w:rsidR="00810F09" w:rsidRPr="00810F09" w:rsidRDefault="00810F09" w:rsidP="00810F09">
      <w:pPr>
        <w:pStyle w:val="Heading3"/>
        <w:rPr>
          <w:lang w:val="en-US"/>
        </w:rPr>
      </w:pPr>
      <w:r w:rsidRPr="00810F09">
        <w:rPr>
          <w:lang w:val="en-US"/>
        </w:rPr>
        <w:t>Q18:  What if an employee does volunteer work or training?</w:t>
      </w:r>
    </w:p>
    <w:p w:rsidR="00810F09" w:rsidRDefault="00810F09" w:rsidP="00810F09">
      <w:pPr>
        <w:spacing w:after="0"/>
        <w:rPr>
          <w:rFonts w:eastAsia="Times New Roman" w:cs="Arial"/>
          <w:szCs w:val="20"/>
          <w:lang w:val="en-US"/>
        </w:rPr>
      </w:pPr>
      <w:r w:rsidRPr="00810F09">
        <w:rPr>
          <w:rFonts w:eastAsia="Times New Roman" w:cs="Arial"/>
          <w:szCs w:val="20"/>
          <w:lang w:val="en-US"/>
        </w:rPr>
        <w:t>A furloughed employee can take part in volunteer work or training, as long as it does not provide services to or generate revenue for, or on behalf of your organisation.</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However, if workers are required to for example, complete online training courses whilst they are furloughed, then they must be paid at least the NLW/NMW for the time spent training, even if this is more than the 80% of their wage that will be subsidised.</w:t>
      </w:r>
    </w:p>
    <w:p w:rsidR="00810F09" w:rsidRPr="00810F09" w:rsidRDefault="00810F09" w:rsidP="00810F09">
      <w:pPr>
        <w:pStyle w:val="Heading3"/>
        <w:rPr>
          <w:lang w:val="en-US" w:eastAsia="en-US"/>
        </w:rPr>
      </w:pPr>
      <w:r w:rsidRPr="00810F09">
        <w:rPr>
          <w:lang w:val="en-US" w:eastAsia="en-US"/>
        </w:rPr>
        <w:t>Q19: What if an employee is on Maternity Leave, contractual adoption pay, paternity pay or shared parental pay?</w:t>
      </w:r>
    </w:p>
    <w:p w:rsidR="00810F09" w:rsidRDefault="00810F09" w:rsidP="00810F09">
      <w:pPr>
        <w:spacing w:after="0"/>
        <w:rPr>
          <w:rFonts w:eastAsia="Times New Roman" w:cs="Arial"/>
          <w:szCs w:val="20"/>
          <w:lang w:val="en-US"/>
        </w:rPr>
      </w:pPr>
      <w:r w:rsidRPr="00810F09">
        <w:rPr>
          <w:rFonts w:eastAsia="Times New Roman" w:cs="Arial"/>
          <w:szCs w:val="20"/>
          <w:lang w:val="en-US"/>
        </w:rPr>
        <w:t>Individuals who are on or plan to take Maternity Leave must take at least 2 weeks off work (4 weeks if they work in a factory or workshop) immediately following the birth of their baby. This is a health and safety requirement. In practice, most women start their Maternity Leave before they give birth.</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If your employee is eligible for Statutory Maternity Pay (SMP) or Maternity Allowance, the normal rules apply, and they are entitled to claim up to 39 weeks of statutory pay or allowance.</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Employees who qualify for SMP, will still be eligible for 90% of their average weekly earnings in the first 6 weeks, followed by 33 weeks of pay paid at 90% of their average weekly earnings or the statutory flat rate (whichever is lower). The statutory flat rate is currently £148.68 a week, rising to £151.20 a week from April 2020.</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If you offer enhanced (earnings related) contractual pay to women on Maternity Leave, this is included as wage costs that you can claim through the scheme.</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The same principles apply where your employee qualifies for contractual adoption, paternity or shared parental pay.</w:t>
      </w:r>
    </w:p>
    <w:p w:rsidR="00810F09" w:rsidRPr="00810F09" w:rsidRDefault="00810F09" w:rsidP="00810F09">
      <w:pPr>
        <w:pStyle w:val="Heading3"/>
        <w:rPr>
          <w:rStyle w:val="Heading3Char"/>
          <w:lang w:val="en-US"/>
        </w:rPr>
      </w:pPr>
      <w:r w:rsidRPr="00810F09">
        <w:rPr>
          <w:rFonts w:eastAsia="Times New Roman"/>
          <w:lang w:val="en-US"/>
        </w:rPr>
        <w:t>Q20: How much can we claim?</w:t>
      </w:r>
    </w:p>
    <w:p w:rsidR="00810F09" w:rsidRDefault="00810F09" w:rsidP="00810F09">
      <w:pPr>
        <w:spacing w:after="0"/>
        <w:rPr>
          <w:rFonts w:eastAsia="Times New Roman" w:cs="Arial"/>
          <w:szCs w:val="20"/>
          <w:lang w:val="en-US"/>
        </w:rPr>
      </w:pPr>
      <w:r w:rsidRPr="00810F09">
        <w:rPr>
          <w:rFonts w:eastAsia="Times New Roman" w:cs="Arial"/>
          <w:szCs w:val="20"/>
          <w:lang w:val="en-US"/>
        </w:rPr>
        <w:t>Employers need to make a claim for wage costs through this scheme.</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You will receive a grant from HMRC to cover the lower of 80% of an employee’s regular wage or £2,500 per month, plus the associated Employer National Insurance contributions and minimum automatic enrolment employer pension contributions on that subsidised wage. Fees, commission and bonuses should not be included.</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At a minimum, employers must pay their employee the lower of 80% of their regular wage or £2,500 per month. An employer can also choose to top up an employee’s salary beyond this but is not obliged to under this scheme.</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We will issue more guidance on how employers should calculate their claims for Employer National Insurance Contributions and minimum automatic enrolment employer pension contributions, before the scheme becomes live.</w:t>
      </w:r>
    </w:p>
    <w:p w:rsidR="00810F09" w:rsidRPr="00810F09" w:rsidRDefault="00810F09" w:rsidP="00810F09">
      <w:pPr>
        <w:spacing w:after="0"/>
        <w:rPr>
          <w:rFonts w:eastAsia="Times New Roman" w:cs="Arial"/>
          <w:szCs w:val="20"/>
          <w:lang w:val="en-US"/>
        </w:rPr>
      </w:pP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t xml:space="preserve">For full time and part time salaried employees, </w:t>
      </w:r>
      <w:r w:rsidRPr="00810F09">
        <w:rPr>
          <w:rFonts w:eastAsia="Times New Roman" w:cs="Arial"/>
          <w:b/>
          <w:bCs/>
          <w:szCs w:val="20"/>
          <w:lang w:val="en-US"/>
        </w:rPr>
        <w:t>the employee’s actual salary before tax, as of 28 February</w:t>
      </w:r>
      <w:r w:rsidRPr="00810F09">
        <w:rPr>
          <w:rFonts w:eastAsia="Times New Roman" w:cs="Arial"/>
          <w:szCs w:val="20"/>
          <w:lang w:val="en-US"/>
        </w:rPr>
        <w:t xml:space="preserve"> should be used to calculate the 80%. Fees, commission and bonuses should not be included.</w:t>
      </w:r>
    </w:p>
    <w:p w:rsidR="00810F09" w:rsidRPr="00810F09" w:rsidRDefault="00810F09" w:rsidP="00810F09">
      <w:pPr>
        <w:pStyle w:val="Heading3"/>
        <w:rPr>
          <w:rFonts w:eastAsia="Times New Roman"/>
          <w:lang w:val="en-US"/>
        </w:rPr>
      </w:pPr>
      <w:r w:rsidRPr="00810F09">
        <w:rPr>
          <w:rFonts w:eastAsia="Times New Roman"/>
          <w:lang w:val="en-US"/>
        </w:rPr>
        <w:lastRenderedPageBreak/>
        <w:t>Q21:  What About Employees whose pay varies?</w:t>
      </w: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t>If the employee has been employed (or engaged by an employment business) for a full twelve months prior to the claim, you can claim for the higher of either:</w:t>
      </w:r>
    </w:p>
    <w:p w:rsidR="00810F09" w:rsidRPr="00810F09" w:rsidRDefault="00810F09" w:rsidP="00810F09">
      <w:pPr>
        <w:numPr>
          <w:ilvl w:val="0"/>
          <w:numId w:val="36"/>
        </w:numPr>
        <w:spacing w:after="0"/>
        <w:rPr>
          <w:rFonts w:eastAsia="Times New Roman" w:cs="Arial"/>
          <w:szCs w:val="20"/>
          <w:lang w:val="en-US"/>
        </w:rPr>
      </w:pPr>
      <w:r w:rsidRPr="00810F09">
        <w:rPr>
          <w:rFonts w:eastAsia="Times New Roman" w:cs="Arial"/>
          <w:szCs w:val="20"/>
          <w:lang w:val="en-US"/>
        </w:rPr>
        <w:t>the same month’s earning from the previous year</w:t>
      </w:r>
    </w:p>
    <w:p w:rsidR="00810F09" w:rsidRPr="00810F09" w:rsidRDefault="00810F09" w:rsidP="00810F09">
      <w:pPr>
        <w:numPr>
          <w:ilvl w:val="0"/>
          <w:numId w:val="36"/>
        </w:numPr>
        <w:rPr>
          <w:rFonts w:eastAsia="Times New Roman" w:cs="Arial"/>
          <w:szCs w:val="20"/>
          <w:lang w:val="en-US"/>
        </w:rPr>
      </w:pPr>
      <w:r w:rsidRPr="00810F09">
        <w:rPr>
          <w:rFonts w:eastAsia="Times New Roman" w:cs="Arial"/>
          <w:szCs w:val="20"/>
          <w:lang w:val="en-US"/>
        </w:rPr>
        <w:t>average monthly earnings from the 2019-20 tax year</w:t>
      </w:r>
    </w:p>
    <w:p w:rsidR="00810F09" w:rsidRDefault="00810F09" w:rsidP="00810F09">
      <w:pPr>
        <w:spacing w:after="0"/>
        <w:rPr>
          <w:rFonts w:eastAsia="Times New Roman" w:cs="Arial"/>
          <w:szCs w:val="20"/>
          <w:lang w:val="en-US"/>
        </w:rPr>
      </w:pPr>
      <w:r w:rsidRPr="00810F09">
        <w:rPr>
          <w:rFonts w:eastAsia="Times New Roman" w:cs="Arial"/>
          <w:szCs w:val="20"/>
          <w:lang w:val="en-US"/>
        </w:rPr>
        <w:t>If the employee has been employed for less than a year, you can claim for an average of their monthly earnings since they started work.</w:t>
      </w:r>
    </w:p>
    <w:p w:rsidR="00810F09" w:rsidRPr="00810F09" w:rsidRDefault="00810F09" w:rsidP="00810F09">
      <w:pPr>
        <w:spacing w:after="0"/>
        <w:rPr>
          <w:rFonts w:eastAsia="Times New Roman" w:cs="Arial"/>
          <w:szCs w:val="20"/>
          <w:lang w:val="en-US"/>
        </w:rPr>
      </w:pP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t>If the employee only started in February 2020, use a pro-rata for their earnings so far to claim.</w:t>
      </w:r>
    </w:p>
    <w:p w:rsidR="00810F09" w:rsidRPr="00810F09" w:rsidRDefault="00810F09" w:rsidP="00810F09">
      <w:pPr>
        <w:rPr>
          <w:rFonts w:eastAsia="Times New Roman" w:cs="Arial"/>
          <w:szCs w:val="20"/>
          <w:lang w:val="en-US"/>
        </w:rPr>
      </w:pPr>
      <w:r w:rsidRPr="00810F09">
        <w:rPr>
          <w:rFonts w:eastAsia="Times New Roman" w:cs="Arial"/>
          <w:szCs w:val="20"/>
          <w:lang w:val="en-US"/>
        </w:rPr>
        <w:t>Once you’ve worked out how much of an employee’s salary you can claim for, you must then work out the amount of Employer National Insurance Contributions and minimum automatic enrolment employer pension contributions you are entitled to claim.</w:t>
      </w:r>
    </w:p>
    <w:p w:rsidR="00810F09" w:rsidRPr="00810F09" w:rsidRDefault="00810F09" w:rsidP="00810F09">
      <w:pPr>
        <w:pStyle w:val="Heading3"/>
        <w:rPr>
          <w:rFonts w:eastAsia="Times New Roman"/>
          <w:lang w:val="en-US"/>
        </w:rPr>
      </w:pPr>
      <w:r w:rsidRPr="00810F09">
        <w:rPr>
          <w:rFonts w:eastAsia="Times New Roman"/>
          <w:lang w:val="en-US"/>
        </w:rPr>
        <w:t>Q22: What about National Insurance and Pension Contributions?</w:t>
      </w:r>
    </w:p>
    <w:p w:rsidR="00810F09" w:rsidRDefault="00810F09" w:rsidP="00810F09">
      <w:pPr>
        <w:spacing w:after="0"/>
        <w:rPr>
          <w:rFonts w:eastAsia="Times New Roman" w:cs="Arial"/>
          <w:szCs w:val="20"/>
          <w:lang w:val="en-US"/>
        </w:rPr>
      </w:pPr>
      <w:r w:rsidRPr="00810F09">
        <w:rPr>
          <w:rFonts w:eastAsia="Times New Roman" w:cs="Arial"/>
          <w:szCs w:val="20"/>
          <w:lang w:val="en-US"/>
        </w:rPr>
        <w:t>All employers remain liable for associated Employer National Insurance contributions and minimum automatic enrolment employer pension contributions on behalf of their furloughed employees.</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You can claim a grant from HMRC to cover wages for a furloughed employee, equal to the lower of 80% of an employee’s regular salary or £2,500 per month, plus the associated Employer National Insurance contributions and minimum automatic enrolment employer pension contributions on paying those wages.</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You can choose to provide top-up salary in addition to the grant. Employer National Insurance Contributions and automatic enrolment contribution on any additional top-up salary will not be funded through this scheme. Nor will any voluntary automatic enrolment contributions above the minimum mandatory employer contribution of 3% of income above the lower limit of qualifying earnings (which is £512 per month until 5th April and will be £520 per month from 6th April 2020 onwards).</w:t>
      </w:r>
    </w:p>
    <w:p w:rsidR="00810F09" w:rsidRPr="00810F09" w:rsidRDefault="00810F09" w:rsidP="00810F09">
      <w:pPr>
        <w:pStyle w:val="Heading3"/>
        <w:rPr>
          <w:rFonts w:eastAsia="Times New Roman"/>
          <w:lang w:val="en-US"/>
        </w:rPr>
      </w:pPr>
      <w:r w:rsidRPr="00810F09">
        <w:rPr>
          <w:rFonts w:eastAsia="Times New Roman"/>
          <w:lang w:val="en-US"/>
        </w:rPr>
        <w:t>Q23:  What about employees on National Minimum Wage?</w:t>
      </w:r>
    </w:p>
    <w:p w:rsidR="00810F09" w:rsidRDefault="00810F09" w:rsidP="00810F09">
      <w:pPr>
        <w:spacing w:after="0"/>
        <w:rPr>
          <w:rFonts w:eastAsia="Times New Roman" w:cs="Arial"/>
          <w:szCs w:val="20"/>
          <w:lang w:val="en-US"/>
        </w:rPr>
      </w:pPr>
      <w:r w:rsidRPr="00810F09">
        <w:rPr>
          <w:rFonts w:eastAsia="Times New Roman" w:cs="Arial"/>
          <w:szCs w:val="20"/>
          <w:lang w:val="en-US"/>
        </w:rPr>
        <w:t>Individuals are only entitled to the National Living Wage (NLW)/National Minimum Wage (NMW) for the hours they are working.</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Therefore, furloughed workers, who are not working, must be paid the lower of 80% of their salary, or £2,500 even if, based on their usual working hours, this would be below NLW/NMW.</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However, if workers are required to for example, complete online training courses whilst they are furloughed, then they must be paid at least the NLW/NMW for the time spent training, even if this is more than the 80% of their wage that will be subsidised.</w:t>
      </w:r>
    </w:p>
    <w:p w:rsidR="00810F09" w:rsidRPr="00810F09" w:rsidRDefault="00810F09" w:rsidP="00810F09">
      <w:pPr>
        <w:pStyle w:val="Heading3"/>
        <w:rPr>
          <w:rFonts w:eastAsia="Times New Roman"/>
        </w:rPr>
      </w:pPr>
      <w:r w:rsidRPr="00810F09">
        <w:rPr>
          <w:rFonts w:eastAsia="Times New Roman"/>
        </w:rPr>
        <w:t>Q24:  What information is required to make a claim?</w:t>
      </w: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t>To claim, you will need:</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your PAYE reference number</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the number of employees being furloughed</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the claim period (start and end date)</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amount claimed (per the minimum length of furloughing of 3 weeks)</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your bank account number and sort code</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your contact name</w:t>
      </w:r>
    </w:p>
    <w:p w:rsidR="00810F09" w:rsidRPr="00810F09" w:rsidRDefault="00810F09" w:rsidP="00810F09">
      <w:pPr>
        <w:numPr>
          <w:ilvl w:val="0"/>
          <w:numId w:val="34"/>
        </w:numPr>
        <w:spacing w:after="0"/>
        <w:rPr>
          <w:rFonts w:eastAsia="Times New Roman" w:cs="Arial"/>
          <w:szCs w:val="20"/>
          <w:lang w:val="en-US"/>
        </w:rPr>
      </w:pPr>
      <w:r w:rsidRPr="00810F09">
        <w:rPr>
          <w:rFonts w:eastAsia="Times New Roman" w:cs="Arial"/>
          <w:szCs w:val="20"/>
          <w:lang w:val="en-US"/>
        </w:rPr>
        <w:t>your phone number</w:t>
      </w:r>
    </w:p>
    <w:p w:rsidR="00810F09" w:rsidRDefault="00810F09" w:rsidP="00810F09">
      <w:pPr>
        <w:spacing w:after="0"/>
        <w:rPr>
          <w:rFonts w:eastAsia="Times New Roman" w:cs="Arial"/>
          <w:szCs w:val="20"/>
        </w:rPr>
      </w:pPr>
      <w:r w:rsidRPr="00810F09">
        <w:rPr>
          <w:rFonts w:eastAsia="Times New Roman" w:cs="Arial"/>
          <w:szCs w:val="20"/>
        </w:rPr>
        <w:lastRenderedPageBreak/>
        <w:t>You will need to calculate the amount you are claiming. HMRC will retain the right to retrospectively audit all aspects of your claim.</w:t>
      </w:r>
    </w:p>
    <w:p w:rsidR="00810F09" w:rsidRPr="00810F09" w:rsidRDefault="00810F09" w:rsidP="00810F09">
      <w:pPr>
        <w:spacing w:after="0"/>
        <w:rPr>
          <w:rFonts w:eastAsia="Times New Roman" w:cs="Arial"/>
          <w:szCs w:val="20"/>
        </w:rPr>
      </w:pPr>
    </w:p>
    <w:p w:rsidR="00810F09" w:rsidRPr="00810F09" w:rsidRDefault="00810F09" w:rsidP="00810F09">
      <w:pPr>
        <w:rPr>
          <w:rFonts w:eastAsia="Times New Roman" w:cs="Arial"/>
          <w:szCs w:val="20"/>
        </w:rPr>
      </w:pPr>
      <w:r w:rsidRPr="00810F09">
        <w:rPr>
          <w:rFonts w:eastAsia="Times New Roman" w:cs="Arial"/>
          <w:szCs w:val="20"/>
        </w:rPr>
        <w:t>You can only submit one claim at least every 3 weeks, which is the minimum length an employee can be furloughed for. Claims can be backdated until the 1 March if applicable.</w:t>
      </w:r>
    </w:p>
    <w:p w:rsidR="00810F09" w:rsidRPr="00810F09" w:rsidRDefault="00810F09" w:rsidP="00810F09">
      <w:pPr>
        <w:pStyle w:val="Heading3"/>
        <w:rPr>
          <w:rFonts w:eastAsia="Times New Roman"/>
        </w:rPr>
      </w:pPr>
      <w:r w:rsidRPr="00810F09">
        <w:rPr>
          <w:rFonts w:eastAsia="Times New Roman"/>
        </w:rPr>
        <w:t>Q25: When can we start claiming?</w:t>
      </w:r>
    </w:p>
    <w:p w:rsidR="00810F09" w:rsidRDefault="00810F09" w:rsidP="00810F09">
      <w:pPr>
        <w:spacing w:after="0"/>
        <w:rPr>
          <w:rFonts w:eastAsia="Times New Roman" w:cs="Arial"/>
          <w:szCs w:val="20"/>
          <w:lang w:val="en-US"/>
        </w:rPr>
      </w:pPr>
      <w:r w:rsidRPr="00810F09">
        <w:rPr>
          <w:rFonts w:eastAsia="Times New Roman" w:cs="Arial"/>
          <w:szCs w:val="20"/>
          <w:lang w:val="en-US"/>
        </w:rPr>
        <w:t>The online service you’ll use to claim is not available yet. We expect it to be available by the end of April 2020.</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You can only submit one claim at least every 3 weeks, which is the minimum length an employee can be furloughed for. Claims can be backdated until the 1 March if applicable.</w:t>
      </w:r>
    </w:p>
    <w:p w:rsidR="00810F09" w:rsidRPr="00810F09" w:rsidRDefault="00810F09" w:rsidP="00810F09">
      <w:pPr>
        <w:pStyle w:val="Heading3"/>
        <w:rPr>
          <w:rFonts w:eastAsia="Times New Roman"/>
          <w:lang w:val="en-US"/>
        </w:rPr>
      </w:pPr>
      <w:r w:rsidRPr="00810F09">
        <w:rPr>
          <w:rFonts w:eastAsia="Times New Roman"/>
          <w:lang w:val="en-US"/>
        </w:rPr>
        <w:t>Q26: How will the grant be paid?</w:t>
      </w:r>
    </w:p>
    <w:p w:rsidR="00810F09" w:rsidRDefault="00810F09" w:rsidP="00810F09">
      <w:pPr>
        <w:spacing w:after="0"/>
        <w:rPr>
          <w:rFonts w:eastAsia="Times New Roman" w:cs="Arial"/>
          <w:szCs w:val="20"/>
          <w:lang w:val="en-US"/>
        </w:rPr>
      </w:pPr>
      <w:r w:rsidRPr="00810F09">
        <w:rPr>
          <w:rFonts w:eastAsia="Times New Roman" w:cs="Arial"/>
          <w:szCs w:val="20"/>
          <w:lang w:val="en-US"/>
        </w:rPr>
        <w:t>Once HMRC have received your claim and you are eligible for the grant, they will pay it via BACS payment to a UK bank account.</w:t>
      </w:r>
    </w:p>
    <w:p w:rsidR="00810F09" w:rsidRPr="00810F09" w:rsidRDefault="00810F09" w:rsidP="00810F09">
      <w:pPr>
        <w:spacing w:after="0"/>
        <w:rPr>
          <w:rFonts w:eastAsia="Times New Roman" w:cs="Arial"/>
          <w:szCs w:val="20"/>
          <w:lang w:val="en-US"/>
        </w:rPr>
      </w:pPr>
    </w:p>
    <w:p w:rsidR="00810F09" w:rsidRDefault="00810F09" w:rsidP="00810F09">
      <w:pPr>
        <w:spacing w:after="0"/>
        <w:rPr>
          <w:rFonts w:eastAsia="Times New Roman" w:cs="Arial"/>
          <w:szCs w:val="20"/>
          <w:lang w:val="en-US"/>
        </w:rPr>
      </w:pPr>
      <w:r w:rsidRPr="00810F09">
        <w:rPr>
          <w:rFonts w:eastAsia="Times New Roman" w:cs="Arial"/>
          <w:szCs w:val="20"/>
          <w:lang w:val="en-US"/>
        </w:rPr>
        <w:t>You should make your claim in accordance with actual payroll amounts at the point at which you run your payroll or in advance of an imminent payroll.</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You must pay the employee all the grant you receive for their gross pay, no fees can be charged from the money that is granted. You can choose to top up the employee’s salary, but you do not have to.</w:t>
      </w:r>
    </w:p>
    <w:p w:rsidR="00810F09" w:rsidRPr="00810F09" w:rsidRDefault="00810F09" w:rsidP="00810F09">
      <w:pPr>
        <w:pStyle w:val="Heading3"/>
        <w:rPr>
          <w:rFonts w:eastAsia="Times New Roman"/>
          <w:lang w:val="en-US"/>
        </w:rPr>
      </w:pPr>
      <w:r w:rsidRPr="00810F09">
        <w:rPr>
          <w:rFonts w:eastAsia="Times New Roman"/>
          <w:lang w:val="en-US"/>
        </w:rPr>
        <w:t>Q27: What happens when the government ends the scheme?</w:t>
      </w:r>
    </w:p>
    <w:p w:rsidR="00810F09" w:rsidRDefault="00810F09" w:rsidP="00810F09">
      <w:pPr>
        <w:spacing w:after="0"/>
        <w:rPr>
          <w:rFonts w:eastAsia="Times New Roman" w:cs="Arial"/>
          <w:szCs w:val="20"/>
          <w:lang w:val="en-US"/>
        </w:rPr>
      </w:pPr>
      <w:r w:rsidRPr="00810F09">
        <w:rPr>
          <w:rFonts w:eastAsia="Times New Roman" w:cs="Arial"/>
          <w:szCs w:val="20"/>
          <w:lang w:val="en-US"/>
        </w:rPr>
        <w:t xml:space="preserve">When the government ends the scheme, employers must make a decision, depending on their circumstances, as to whether employees can return to their duties. If not, it may be necessary to consider termination of employment (redundancy). </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Once the scheme has been closed by the government, HMRC will continue to process remaining claims before terminating the scheme.</w:t>
      </w:r>
    </w:p>
    <w:p w:rsidR="00810F09" w:rsidRPr="00810F09" w:rsidRDefault="00810F09" w:rsidP="00810F09">
      <w:pPr>
        <w:pStyle w:val="Heading3"/>
        <w:rPr>
          <w:rFonts w:eastAsia="Times New Roman"/>
          <w:lang w:val="en-US"/>
        </w:rPr>
      </w:pPr>
      <w:r w:rsidRPr="00810F09">
        <w:rPr>
          <w:rFonts w:eastAsia="Times New Roman"/>
          <w:lang w:val="en-US"/>
        </w:rPr>
        <w:t>Q28: What about employment rights of furloughed employees?</w:t>
      </w:r>
    </w:p>
    <w:p w:rsidR="00810F09" w:rsidRPr="00810F09" w:rsidRDefault="00810F09" w:rsidP="00810F09">
      <w:pPr>
        <w:rPr>
          <w:rFonts w:eastAsia="Times New Roman" w:cs="Arial"/>
          <w:szCs w:val="20"/>
          <w:lang w:val="en-US"/>
        </w:rPr>
      </w:pPr>
      <w:r w:rsidRPr="00810F09">
        <w:rPr>
          <w:rFonts w:eastAsia="Times New Roman" w:cs="Arial"/>
          <w:szCs w:val="20"/>
          <w:lang w:val="en-US"/>
        </w:rPr>
        <w:t>Employees that have been furloughed have the same rights as they did previously. That includes Statutory Sick Pay entitlement, maternity rights, other parental rights, rights against unfair dismissal and to redundancy payments.</w:t>
      </w:r>
      <w:bookmarkStart w:id="0" w:name="_GoBack"/>
      <w:bookmarkEnd w:id="0"/>
    </w:p>
    <w:p w:rsidR="00810F09" w:rsidRPr="00810F09" w:rsidRDefault="00810F09" w:rsidP="00810F09">
      <w:pPr>
        <w:pStyle w:val="Heading3"/>
        <w:rPr>
          <w:rFonts w:eastAsia="Times New Roman"/>
          <w:lang w:val="en-US"/>
        </w:rPr>
      </w:pPr>
      <w:r w:rsidRPr="00810F09">
        <w:rPr>
          <w:rFonts w:eastAsia="Times New Roman"/>
          <w:lang w:val="en-US"/>
        </w:rPr>
        <w:t>Q29: What about Income tax, NIC and pension deductions?</w:t>
      </w:r>
    </w:p>
    <w:p w:rsidR="00810F09" w:rsidRDefault="00810F09" w:rsidP="00810F09">
      <w:pPr>
        <w:spacing w:after="0"/>
        <w:rPr>
          <w:rFonts w:eastAsia="Times New Roman" w:cs="Arial"/>
          <w:szCs w:val="20"/>
          <w:lang w:val="en-US"/>
        </w:rPr>
      </w:pPr>
      <w:r w:rsidRPr="00810F09">
        <w:rPr>
          <w:rFonts w:eastAsia="Times New Roman" w:cs="Arial"/>
          <w:szCs w:val="20"/>
          <w:lang w:val="en-US"/>
        </w:rPr>
        <w:t>Wages of furloughed employees will be subject to Income Tax and National Insurance as usual. Employees will also pay automatic enrolment contributions on qualifying earnings, unless they have chosen to opt-out or to cease saving into a workplace pension scheme.</w:t>
      </w:r>
    </w:p>
    <w:p w:rsidR="00810F09" w:rsidRPr="00810F09" w:rsidRDefault="00810F09" w:rsidP="00810F09">
      <w:pPr>
        <w:spacing w:after="0"/>
        <w:rPr>
          <w:rFonts w:eastAsia="Times New Roman" w:cs="Arial"/>
          <w:szCs w:val="20"/>
          <w:lang w:val="en-US"/>
        </w:rPr>
      </w:pPr>
    </w:p>
    <w:p w:rsidR="00810F09" w:rsidRPr="00810F09" w:rsidRDefault="00810F09" w:rsidP="00810F09">
      <w:pPr>
        <w:rPr>
          <w:rFonts w:eastAsia="Times New Roman" w:cs="Arial"/>
          <w:szCs w:val="20"/>
          <w:lang w:val="en-US"/>
        </w:rPr>
      </w:pPr>
      <w:r w:rsidRPr="00810F09">
        <w:rPr>
          <w:rFonts w:eastAsia="Times New Roman" w:cs="Arial"/>
          <w:szCs w:val="20"/>
          <w:lang w:val="en-US"/>
        </w:rPr>
        <w:t>Employers will be liable to pay Employer National Insurance contributions on wages paid, as well as automatic enrolment contributions on qualifying earnings unless an employee has opted out or has ceased saving into a workplace pension scheme.</w:t>
      </w:r>
    </w:p>
    <w:p w:rsidR="00810F09" w:rsidRPr="00810F09" w:rsidRDefault="00810F09" w:rsidP="00810F09">
      <w:pPr>
        <w:pStyle w:val="Heading3"/>
        <w:rPr>
          <w:rFonts w:eastAsia="Times New Roman"/>
          <w:lang w:val="en-US"/>
        </w:rPr>
      </w:pPr>
      <w:r w:rsidRPr="00810F09">
        <w:rPr>
          <w:rFonts w:eastAsia="Times New Roman"/>
          <w:lang w:val="en-US"/>
        </w:rPr>
        <w:t>Q30:  Is the Coronavirus Job Retention Grant Taxable?</w:t>
      </w:r>
    </w:p>
    <w:p w:rsidR="00810F09" w:rsidRDefault="00810F09" w:rsidP="00810F09">
      <w:pPr>
        <w:spacing w:after="0"/>
        <w:rPr>
          <w:rFonts w:eastAsia="Times New Roman" w:cs="Arial"/>
          <w:szCs w:val="20"/>
          <w:lang w:val="en-US"/>
        </w:rPr>
      </w:pPr>
      <w:r w:rsidRPr="00810F09">
        <w:rPr>
          <w:rFonts w:eastAsia="Times New Roman" w:cs="Arial"/>
          <w:szCs w:val="20"/>
          <w:lang w:val="en-US"/>
        </w:rPr>
        <w:t>Yes, payments received by a business under the scheme are made to offset these deductible revenue costs. They must therefore be included as income in the business’s calculation of its taxable profits for Income Tax and Corporation Tax purposes, in accordance with normal principles.</w:t>
      </w:r>
    </w:p>
    <w:p w:rsidR="00810F09" w:rsidRPr="00810F09" w:rsidRDefault="00810F09" w:rsidP="00810F09">
      <w:pPr>
        <w:spacing w:after="0"/>
        <w:rPr>
          <w:rFonts w:eastAsia="Times New Roman" w:cs="Arial"/>
          <w:szCs w:val="20"/>
          <w:lang w:val="en-US"/>
        </w:rPr>
      </w:pPr>
    </w:p>
    <w:p w:rsidR="00810F09" w:rsidRPr="00810F09" w:rsidRDefault="00810F09" w:rsidP="00810F09">
      <w:pPr>
        <w:spacing w:after="0"/>
        <w:rPr>
          <w:rFonts w:eastAsia="Times New Roman" w:cs="Arial"/>
          <w:szCs w:val="20"/>
          <w:lang w:val="en-US"/>
        </w:rPr>
      </w:pPr>
      <w:r w:rsidRPr="00810F09">
        <w:rPr>
          <w:rFonts w:eastAsia="Times New Roman" w:cs="Arial"/>
          <w:szCs w:val="20"/>
          <w:lang w:val="en-US"/>
        </w:rPr>
        <w:lastRenderedPageBreak/>
        <w:t>Businesses can deduct employment costs as normal when calculating taxable profits for Income Tax and Corporation Tax purposes.</w:t>
      </w:r>
    </w:p>
    <w:p w:rsidR="00921197" w:rsidRPr="00810F09" w:rsidRDefault="00921197" w:rsidP="00810F09">
      <w:pPr>
        <w:pStyle w:val="Heading3"/>
        <w:spacing w:line="276" w:lineRule="auto"/>
        <w:rPr>
          <w:rFonts w:ascii="DIN Light" w:hAnsi="DIN Light" w:cstheme="minorHAnsi"/>
          <w:color w:val="404040" w:themeColor="text1" w:themeTint="BF"/>
          <w:sz w:val="20"/>
          <w:szCs w:val="20"/>
        </w:rPr>
      </w:pPr>
    </w:p>
    <w:p w:rsidR="00921197" w:rsidRPr="00810F09" w:rsidRDefault="00921197" w:rsidP="00810F09">
      <w:pPr>
        <w:pStyle w:val="NoSpacing"/>
        <w:spacing w:line="276" w:lineRule="auto"/>
        <w:rPr>
          <w:rFonts w:cstheme="minorHAnsi"/>
          <w:sz w:val="18"/>
          <w:szCs w:val="20"/>
        </w:rPr>
      </w:pPr>
    </w:p>
    <w:p w:rsidR="006C1D4C" w:rsidRPr="00810F09" w:rsidRDefault="005B48B4" w:rsidP="00810F09">
      <w:pPr>
        <w:pStyle w:val="NoSpacing"/>
        <w:spacing w:line="276" w:lineRule="auto"/>
        <w:rPr>
          <w:sz w:val="18"/>
          <w:szCs w:val="20"/>
        </w:rPr>
      </w:pPr>
      <w:r w:rsidRPr="00810F09">
        <w:rPr>
          <w:rFonts w:cstheme="minorHAnsi"/>
          <w:sz w:val="18"/>
          <w:szCs w:val="20"/>
        </w:rPr>
        <w:t>This document has been prepared for information purposes only</w:t>
      </w:r>
      <w:r w:rsidR="00CA6AF7" w:rsidRPr="00810F09">
        <w:rPr>
          <w:rFonts w:cstheme="minorHAnsi"/>
          <w:sz w:val="18"/>
          <w:szCs w:val="20"/>
        </w:rPr>
        <w:t xml:space="preserve"> and is correct as of </w:t>
      </w:r>
      <w:r w:rsidR="00810F09">
        <w:rPr>
          <w:rFonts w:cstheme="minorHAnsi"/>
          <w:sz w:val="18"/>
          <w:szCs w:val="20"/>
        </w:rPr>
        <w:t>31</w:t>
      </w:r>
      <w:r w:rsidR="006C1D4C" w:rsidRPr="00810F09">
        <w:rPr>
          <w:rFonts w:cstheme="minorHAnsi"/>
          <w:sz w:val="18"/>
          <w:szCs w:val="20"/>
        </w:rPr>
        <w:t xml:space="preserve"> March </w:t>
      </w:r>
      <w:r w:rsidRPr="00810F09">
        <w:rPr>
          <w:rFonts w:cstheme="minorHAnsi"/>
          <w:sz w:val="18"/>
          <w:szCs w:val="20"/>
        </w:rPr>
        <w:t>2020. It is not intended as advice and no responsibility can be accepted by Hopper</w:t>
      </w:r>
      <w:r w:rsidR="00B12521" w:rsidRPr="00810F09">
        <w:rPr>
          <w:rFonts w:cstheme="minorHAnsi"/>
          <w:sz w:val="18"/>
          <w:szCs w:val="20"/>
        </w:rPr>
        <w:t xml:space="preserve"> </w:t>
      </w:r>
      <w:r w:rsidRPr="00810F09">
        <w:rPr>
          <w:rFonts w:cstheme="minorHAnsi"/>
          <w:sz w:val="18"/>
          <w:szCs w:val="20"/>
        </w:rPr>
        <w:t>Williams &amp; Bell Limited and its associated companies for any loss resulting from acting or refraining from acting as a result of any material in it.</w:t>
      </w:r>
    </w:p>
    <w:sectPr w:rsidR="006C1D4C" w:rsidRPr="00810F09" w:rsidSect="00681498">
      <w:headerReference w:type="default" r:id="rId12"/>
      <w:pgSz w:w="11906" w:h="16838"/>
      <w:pgMar w:top="1440" w:right="1440" w:bottom="1560" w:left="1440"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DE" w:rsidRDefault="007D2CDE" w:rsidP="00C45F6D">
      <w:pPr>
        <w:spacing w:after="0" w:line="240" w:lineRule="auto"/>
      </w:pPr>
      <w:r>
        <w:separator/>
      </w:r>
    </w:p>
  </w:endnote>
  <w:endnote w:type="continuationSeparator" w:id="0">
    <w:p w:rsidR="007D2CDE" w:rsidRDefault="007D2CDE" w:rsidP="00C4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Light">
    <w:panose1 w:val="0202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DE" w:rsidRDefault="007D2CDE" w:rsidP="00C45F6D">
      <w:pPr>
        <w:spacing w:after="0" w:line="240" w:lineRule="auto"/>
      </w:pPr>
      <w:r>
        <w:separator/>
      </w:r>
    </w:p>
  </w:footnote>
  <w:footnote w:type="continuationSeparator" w:id="0">
    <w:p w:rsidR="007D2CDE" w:rsidRDefault="007D2CDE" w:rsidP="00C4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81" w:rsidRDefault="007D2CDE">
    <w:pPr>
      <w:pStyle w:val="Header"/>
    </w:pPr>
    <w:r>
      <w:rPr>
        <w:noProof/>
        <w:color w:val="00023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in;margin-top:-67.5pt;width:595.2pt;height:841.9pt;z-index:-251658752;mso-wrap-edited:f;mso-position-horizontal-relative:margin;mso-position-vertical-relative:margin" wrapcoords="-27 0 -27 21561 21600 21561 21600 0 -27 0">
          <v:imagedata r:id="rId1" o:title="redboxinsideV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7pt;height:77.7pt" o:bullet="t">
        <v:imagedata r:id="rId1" o:title="HWB red ribbon"/>
      </v:shape>
    </w:pict>
  </w:numPicBullet>
  <w:abstractNum w:abstractNumId="0">
    <w:nsid w:val="004219DD"/>
    <w:multiLevelType w:val="hybridMultilevel"/>
    <w:tmpl w:val="ACDC0CAA"/>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C47E5A"/>
    <w:multiLevelType w:val="hybridMultilevel"/>
    <w:tmpl w:val="FF480C9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B5B34"/>
    <w:multiLevelType w:val="hybridMultilevel"/>
    <w:tmpl w:val="3F68D69E"/>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40743"/>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087303"/>
    <w:multiLevelType w:val="hybridMultilevel"/>
    <w:tmpl w:val="5084273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E6417"/>
    <w:multiLevelType w:val="hybridMultilevel"/>
    <w:tmpl w:val="705015A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65AAD"/>
    <w:multiLevelType w:val="hybridMultilevel"/>
    <w:tmpl w:val="23608EA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D0DEB"/>
    <w:multiLevelType w:val="hybridMultilevel"/>
    <w:tmpl w:val="B5C850F4"/>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D1D58"/>
    <w:multiLevelType w:val="hybridMultilevel"/>
    <w:tmpl w:val="C652BB10"/>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747BC"/>
    <w:multiLevelType w:val="hybridMultilevel"/>
    <w:tmpl w:val="2362E84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527A0"/>
    <w:multiLevelType w:val="hybridMultilevel"/>
    <w:tmpl w:val="88FEE138"/>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77627"/>
    <w:multiLevelType w:val="multilevel"/>
    <w:tmpl w:val="668C7A88"/>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63383"/>
    <w:multiLevelType w:val="multilevel"/>
    <w:tmpl w:val="61929F32"/>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927251"/>
    <w:multiLevelType w:val="hybridMultilevel"/>
    <w:tmpl w:val="BADAEE54"/>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24D14"/>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702155"/>
    <w:multiLevelType w:val="hybridMultilevel"/>
    <w:tmpl w:val="FC562EA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76C2B"/>
    <w:multiLevelType w:val="multilevel"/>
    <w:tmpl w:val="60727BF8"/>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52F20"/>
    <w:multiLevelType w:val="hybridMultilevel"/>
    <w:tmpl w:val="E2B02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1A5027"/>
    <w:multiLevelType w:val="hybridMultilevel"/>
    <w:tmpl w:val="1A82379A"/>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3329D2"/>
    <w:multiLevelType w:val="hybridMultilevel"/>
    <w:tmpl w:val="C2ACD9E2"/>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1435C"/>
    <w:multiLevelType w:val="hybridMultilevel"/>
    <w:tmpl w:val="B83426CC"/>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4632C"/>
    <w:multiLevelType w:val="hybridMultilevel"/>
    <w:tmpl w:val="91E0A86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A0AF3"/>
    <w:multiLevelType w:val="multilevel"/>
    <w:tmpl w:val="537AE56C"/>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6760FF"/>
    <w:multiLevelType w:val="hybridMultilevel"/>
    <w:tmpl w:val="34E2083A"/>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414E96"/>
    <w:multiLevelType w:val="hybridMultilevel"/>
    <w:tmpl w:val="FA86A72C"/>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6206C"/>
    <w:multiLevelType w:val="multilevel"/>
    <w:tmpl w:val="745EC03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C7E10"/>
    <w:multiLevelType w:val="multilevel"/>
    <w:tmpl w:val="183E58EC"/>
    <w:lvl w:ilvl="0">
      <w:numFmt w:val="bullet"/>
      <w:lvlText w:val="-"/>
      <w:lvlPicBulletId w:val="0"/>
      <w:lvlJc w:val="left"/>
      <w:pPr>
        <w:tabs>
          <w:tab w:val="num" w:pos="720"/>
        </w:tabs>
        <w:ind w:left="720" w:hanging="360"/>
      </w:pPr>
      <w:rPr>
        <w:rFonts w:ascii="DIN Light" w:eastAsiaTheme="minorEastAsia" w:hAnsi="DIN Light" w:cstheme="minorBidi" w:hint="default"/>
        <w:color w:val="auto"/>
        <w:sz w:val="20"/>
      </w:rPr>
    </w:lvl>
    <w:lvl w:ilvl="1">
      <w:numFmt w:val="bullet"/>
      <w:lvlText w:val="-"/>
      <w:lvlJc w:val="left"/>
      <w:pPr>
        <w:tabs>
          <w:tab w:val="num" w:pos="1440"/>
        </w:tabs>
        <w:ind w:left="1440" w:hanging="360"/>
      </w:pPr>
      <w:rPr>
        <w:rFonts w:ascii="DIN Light" w:eastAsiaTheme="minorEastAsia" w:hAnsi="DIN Light"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896584"/>
    <w:multiLevelType w:val="hybridMultilevel"/>
    <w:tmpl w:val="ADECA7F6"/>
    <w:lvl w:ilvl="0" w:tplc="3462E882">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B90A6D"/>
    <w:multiLevelType w:val="hybridMultilevel"/>
    <w:tmpl w:val="F4EC86A0"/>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76492"/>
    <w:multiLevelType w:val="hybridMultilevel"/>
    <w:tmpl w:val="51A8081E"/>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DD5ECA"/>
    <w:multiLevelType w:val="hybridMultilevel"/>
    <w:tmpl w:val="F6163F6E"/>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nsid w:val="712B507A"/>
    <w:multiLevelType w:val="hybridMultilevel"/>
    <w:tmpl w:val="2A649A5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C0E36"/>
    <w:multiLevelType w:val="hybridMultilevel"/>
    <w:tmpl w:val="145A3FDA"/>
    <w:lvl w:ilvl="0" w:tplc="A6FA71C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7507684C"/>
    <w:multiLevelType w:val="hybridMultilevel"/>
    <w:tmpl w:val="08168E72"/>
    <w:lvl w:ilvl="0" w:tplc="A6FA71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067D6E"/>
    <w:multiLevelType w:val="multilevel"/>
    <w:tmpl w:val="0BFE53F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25FC6"/>
    <w:multiLevelType w:val="hybridMultilevel"/>
    <w:tmpl w:val="9CBE91A0"/>
    <w:lvl w:ilvl="0" w:tplc="0BD8A9FC">
      <w:numFmt w:val="bullet"/>
      <w:lvlText w:val="-"/>
      <w:lvlJc w:val="left"/>
      <w:pPr>
        <w:ind w:left="1080" w:hanging="360"/>
      </w:pPr>
      <w:rPr>
        <w:rFonts w:ascii="DIN Light" w:eastAsiaTheme="minorEastAsia" w:hAnsi="DIN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17"/>
  </w:num>
  <w:num w:numId="4">
    <w:abstractNumId w:val="35"/>
  </w:num>
  <w:num w:numId="5">
    <w:abstractNumId w:val="32"/>
  </w:num>
  <w:num w:numId="6">
    <w:abstractNumId w:val="4"/>
  </w:num>
  <w:num w:numId="7">
    <w:abstractNumId w:val="30"/>
  </w:num>
  <w:num w:numId="8">
    <w:abstractNumId w:val="28"/>
  </w:num>
  <w:num w:numId="9">
    <w:abstractNumId w:val="15"/>
  </w:num>
  <w:num w:numId="10">
    <w:abstractNumId w:val="33"/>
  </w:num>
  <w:num w:numId="11">
    <w:abstractNumId w:val="1"/>
  </w:num>
  <w:num w:numId="12">
    <w:abstractNumId w:val="23"/>
  </w:num>
  <w:num w:numId="13">
    <w:abstractNumId w:val="6"/>
  </w:num>
  <w:num w:numId="14">
    <w:abstractNumId w:val="10"/>
  </w:num>
  <w:num w:numId="15">
    <w:abstractNumId w:val="9"/>
  </w:num>
  <w:num w:numId="16">
    <w:abstractNumId w:val="31"/>
  </w:num>
  <w:num w:numId="17">
    <w:abstractNumId w:val="20"/>
  </w:num>
  <w:num w:numId="18">
    <w:abstractNumId w:val="21"/>
  </w:num>
  <w:num w:numId="19">
    <w:abstractNumId w:val="22"/>
  </w:num>
  <w:num w:numId="20">
    <w:abstractNumId w:val="12"/>
  </w:num>
  <w:num w:numId="21">
    <w:abstractNumId w:val="11"/>
  </w:num>
  <w:num w:numId="22">
    <w:abstractNumId w:val="18"/>
  </w:num>
  <w:num w:numId="23">
    <w:abstractNumId w:val="19"/>
  </w:num>
  <w:num w:numId="24">
    <w:abstractNumId w:val="2"/>
  </w:num>
  <w:num w:numId="25">
    <w:abstractNumId w:val="27"/>
  </w:num>
  <w:num w:numId="26">
    <w:abstractNumId w:val="8"/>
  </w:num>
  <w:num w:numId="27">
    <w:abstractNumId w:val="24"/>
  </w:num>
  <w:num w:numId="28">
    <w:abstractNumId w:val="26"/>
  </w:num>
  <w:num w:numId="29">
    <w:abstractNumId w:val="0"/>
  </w:num>
  <w:num w:numId="30">
    <w:abstractNumId w:val="5"/>
  </w:num>
  <w:num w:numId="31">
    <w:abstractNumId w:val="3"/>
  </w:num>
  <w:num w:numId="32">
    <w:abstractNumId w:val="14"/>
  </w:num>
  <w:num w:numId="33">
    <w:abstractNumId w:val="13"/>
  </w:num>
  <w:num w:numId="34">
    <w:abstractNumId w:val="16"/>
  </w:num>
  <w:num w:numId="35">
    <w:abstractNumId w:val="25"/>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61"/>
    <w:rsid w:val="00001A59"/>
    <w:rsid w:val="00011BB8"/>
    <w:rsid w:val="00026AA1"/>
    <w:rsid w:val="00037677"/>
    <w:rsid w:val="0004045F"/>
    <w:rsid w:val="000705EB"/>
    <w:rsid w:val="00071386"/>
    <w:rsid w:val="000745F8"/>
    <w:rsid w:val="0008013D"/>
    <w:rsid w:val="00080176"/>
    <w:rsid w:val="000B196A"/>
    <w:rsid w:val="000C20A3"/>
    <w:rsid w:val="000D60C6"/>
    <w:rsid w:val="000E18A2"/>
    <w:rsid w:val="00106053"/>
    <w:rsid w:val="0012137C"/>
    <w:rsid w:val="00123F0D"/>
    <w:rsid w:val="0013082A"/>
    <w:rsid w:val="001332E7"/>
    <w:rsid w:val="00135F0A"/>
    <w:rsid w:val="001479AD"/>
    <w:rsid w:val="00150CC5"/>
    <w:rsid w:val="00171019"/>
    <w:rsid w:val="001963D9"/>
    <w:rsid w:val="001A3057"/>
    <w:rsid w:val="001A737A"/>
    <w:rsid w:val="001B0575"/>
    <w:rsid w:val="001B255B"/>
    <w:rsid w:val="001B3733"/>
    <w:rsid w:val="001F3B67"/>
    <w:rsid w:val="00204981"/>
    <w:rsid w:val="002125EC"/>
    <w:rsid w:val="00212769"/>
    <w:rsid w:val="00222E8D"/>
    <w:rsid w:val="00223AAC"/>
    <w:rsid w:val="0023477B"/>
    <w:rsid w:val="002546C1"/>
    <w:rsid w:val="00261FB7"/>
    <w:rsid w:val="002631FA"/>
    <w:rsid w:val="00263761"/>
    <w:rsid w:val="002A440D"/>
    <w:rsid w:val="002D1911"/>
    <w:rsid w:val="002D4F2F"/>
    <w:rsid w:val="002D61BC"/>
    <w:rsid w:val="002F2F81"/>
    <w:rsid w:val="00307580"/>
    <w:rsid w:val="003219AC"/>
    <w:rsid w:val="0032490F"/>
    <w:rsid w:val="0033722A"/>
    <w:rsid w:val="00354BB1"/>
    <w:rsid w:val="00367F9C"/>
    <w:rsid w:val="003748F3"/>
    <w:rsid w:val="00391CFF"/>
    <w:rsid w:val="0039784A"/>
    <w:rsid w:val="003A6D3B"/>
    <w:rsid w:val="003C5265"/>
    <w:rsid w:val="003E0D26"/>
    <w:rsid w:val="003F5C9B"/>
    <w:rsid w:val="0040756F"/>
    <w:rsid w:val="00444121"/>
    <w:rsid w:val="00453E5E"/>
    <w:rsid w:val="004857BA"/>
    <w:rsid w:val="004A273B"/>
    <w:rsid w:val="004A4913"/>
    <w:rsid w:val="004A6798"/>
    <w:rsid w:val="004B30E1"/>
    <w:rsid w:val="004B3943"/>
    <w:rsid w:val="004D2C7D"/>
    <w:rsid w:val="004D7B3A"/>
    <w:rsid w:val="004E7BE1"/>
    <w:rsid w:val="004F1284"/>
    <w:rsid w:val="004F6A25"/>
    <w:rsid w:val="00522AF2"/>
    <w:rsid w:val="00536DFB"/>
    <w:rsid w:val="0053717E"/>
    <w:rsid w:val="005415A6"/>
    <w:rsid w:val="005474F2"/>
    <w:rsid w:val="005849B5"/>
    <w:rsid w:val="005A7742"/>
    <w:rsid w:val="005B37D0"/>
    <w:rsid w:val="005B48B4"/>
    <w:rsid w:val="005C0001"/>
    <w:rsid w:val="005C185D"/>
    <w:rsid w:val="005C2D92"/>
    <w:rsid w:val="005E09BC"/>
    <w:rsid w:val="005E4C3D"/>
    <w:rsid w:val="0062263F"/>
    <w:rsid w:val="00622DFC"/>
    <w:rsid w:val="0063448C"/>
    <w:rsid w:val="00634A6D"/>
    <w:rsid w:val="00663417"/>
    <w:rsid w:val="00664860"/>
    <w:rsid w:val="00681498"/>
    <w:rsid w:val="00686F42"/>
    <w:rsid w:val="00693040"/>
    <w:rsid w:val="00693E62"/>
    <w:rsid w:val="00694E51"/>
    <w:rsid w:val="006A48E3"/>
    <w:rsid w:val="006A5D86"/>
    <w:rsid w:val="006C1D4C"/>
    <w:rsid w:val="00707533"/>
    <w:rsid w:val="00716654"/>
    <w:rsid w:val="0072003C"/>
    <w:rsid w:val="00722465"/>
    <w:rsid w:val="00730435"/>
    <w:rsid w:val="007376D6"/>
    <w:rsid w:val="007401D7"/>
    <w:rsid w:val="00743ACB"/>
    <w:rsid w:val="007507C3"/>
    <w:rsid w:val="0075611D"/>
    <w:rsid w:val="00760FE4"/>
    <w:rsid w:val="007846E4"/>
    <w:rsid w:val="007C4F7D"/>
    <w:rsid w:val="007C772B"/>
    <w:rsid w:val="007D2CDE"/>
    <w:rsid w:val="007D4317"/>
    <w:rsid w:val="007F38EC"/>
    <w:rsid w:val="007F7096"/>
    <w:rsid w:val="007F7B17"/>
    <w:rsid w:val="00802FA6"/>
    <w:rsid w:val="00810F09"/>
    <w:rsid w:val="00827E09"/>
    <w:rsid w:val="0084736C"/>
    <w:rsid w:val="00871825"/>
    <w:rsid w:val="00871A0F"/>
    <w:rsid w:val="00884025"/>
    <w:rsid w:val="00884A93"/>
    <w:rsid w:val="008A45A2"/>
    <w:rsid w:val="008C7C8C"/>
    <w:rsid w:val="008D2870"/>
    <w:rsid w:val="009067C1"/>
    <w:rsid w:val="00912600"/>
    <w:rsid w:val="00917376"/>
    <w:rsid w:val="00921197"/>
    <w:rsid w:val="00921259"/>
    <w:rsid w:val="00941DCD"/>
    <w:rsid w:val="00946555"/>
    <w:rsid w:val="00951747"/>
    <w:rsid w:val="009677B0"/>
    <w:rsid w:val="00986ED0"/>
    <w:rsid w:val="009A547C"/>
    <w:rsid w:val="009B5788"/>
    <w:rsid w:val="009D03A2"/>
    <w:rsid w:val="009D4818"/>
    <w:rsid w:val="009F6D72"/>
    <w:rsid w:val="00A11062"/>
    <w:rsid w:val="00A13880"/>
    <w:rsid w:val="00A22EB6"/>
    <w:rsid w:val="00A43504"/>
    <w:rsid w:val="00A5028B"/>
    <w:rsid w:val="00A70329"/>
    <w:rsid w:val="00A818E3"/>
    <w:rsid w:val="00AA0E29"/>
    <w:rsid w:val="00AB08E9"/>
    <w:rsid w:val="00AE1D88"/>
    <w:rsid w:val="00B12521"/>
    <w:rsid w:val="00B516B0"/>
    <w:rsid w:val="00B535B4"/>
    <w:rsid w:val="00B656ED"/>
    <w:rsid w:val="00B75BCC"/>
    <w:rsid w:val="00B77A04"/>
    <w:rsid w:val="00B85E0E"/>
    <w:rsid w:val="00B870EE"/>
    <w:rsid w:val="00BA48C8"/>
    <w:rsid w:val="00BD3F9B"/>
    <w:rsid w:val="00BE2AC8"/>
    <w:rsid w:val="00BF1842"/>
    <w:rsid w:val="00BF4BC8"/>
    <w:rsid w:val="00C00B45"/>
    <w:rsid w:val="00C26F4D"/>
    <w:rsid w:val="00C324F5"/>
    <w:rsid w:val="00C33970"/>
    <w:rsid w:val="00C45F6D"/>
    <w:rsid w:val="00C5101D"/>
    <w:rsid w:val="00C60149"/>
    <w:rsid w:val="00C60615"/>
    <w:rsid w:val="00C670FD"/>
    <w:rsid w:val="00C94B51"/>
    <w:rsid w:val="00CA24CF"/>
    <w:rsid w:val="00CA3DB9"/>
    <w:rsid w:val="00CA6AF7"/>
    <w:rsid w:val="00CB0C36"/>
    <w:rsid w:val="00CC7954"/>
    <w:rsid w:val="00CF297F"/>
    <w:rsid w:val="00CF7D35"/>
    <w:rsid w:val="00D24CEF"/>
    <w:rsid w:val="00D255C7"/>
    <w:rsid w:val="00D3678A"/>
    <w:rsid w:val="00D554FD"/>
    <w:rsid w:val="00D9036B"/>
    <w:rsid w:val="00D9109F"/>
    <w:rsid w:val="00D9187C"/>
    <w:rsid w:val="00D94F83"/>
    <w:rsid w:val="00DA01FE"/>
    <w:rsid w:val="00DA2443"/>
    <w:rsid w:val="00DA5AF4"/>
    <w:rsid w:val="00DA69CE"/>
    <w:rsid w:val="00DB42C3"/>
    <w:rsid w:val="00DB7FBA"/>
    <w:rsid w:val="00DC20A4"/>
    <w:rsid w:val="00DC51AC"/>
    <w:rsid w:val="00DF6A7F"/>
    <w:rsid w:val="00E12633"/>
    <w:rsid w:val="00E2224A"/>
    <w:rsid w:val="00E66DA6"/>
    <w:rsid w:val="00E714D5"/>
    <w:rsid w:val="00E72FF1"/>
    <w:rsid w:val="00E93B96"/>
    <w:rsid w:val="00E95E1F"/>
    <w:rsid w:val="00EB3CD6"/>
    <w:rsid w:val="00EC186F"/>
    <w:rsid w:val="00ED0439"/>
    <w:rsid w:val="00ED4FFF"/>
    <w:rsid w:val="00F06CCF"/>
    <w:rsid w:val="00F40A2F"/>
    <w:rsid w:val="00F70D09"/>
    <w:rsid w:val="00F70EF4"/>
    <w:rsid w:val="00F71D41"/>
    <w:rsid w:val="00F825E7"/>
    <w:rsid w:val="00F85742"/>
    <w:rsid w:val="00F91E97"/>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053"/>
    <w:rPr>
      <w:rFonts w:ascii="DIN Light" w:hAnsi="DIN Light"/>
      <w:color w:val="404040" w:themeColor="text1" w:themeTint="BF"/>
      <w:sz w:val="20"/>
    </w:rPr>
  </w:style>
  <w:style w:type="paragraph" w:styleId="Heading1">
    <w:name w:val="heading 1"/>
    <w:basedOn w:val="Normal"/>
    <w:next w:val="Normal"/>
    <w:link w:val="Heading1Char"/>
    <w:uiPriority w:val="9"/>
    <w:qFormat/>
    <w:rsid w:val="00106053"/>
    <w:pPr>
      <w:keepNext/>
      <w:keepLines/>
      <w:spacing w:before="480" w:after="0"/>
      <w:outlineLvl w:val="0"/>
    </w:pPr>
    <w:rPr>
      <w:rFonts w:ascii="DIN" w:eastAsiaTheme="majorEastAsia" w:hAnsi="DIN" w:cstheme="majorBidi"/>
      <w:bCs/>
      <w:color w:val="00849E"/>
      <w:sz w:val="44"/>
      <w:szCs w:val="28"/>
    </w:rPr>
  </w:style>
  <w:style w:type="paragraph" w:styleId="Heading2">
    <w:name w:val="heading 2"/>
    <w:basedOn w:val="Normal"/>
    <w:next w:val="Normal"/>
    <w:link w:val="Heading2Char"/>
    <w:uiPriority w:val="9"/>
    <w:qFormat/>
    <w:rsid w:val="00106053"/>
    <w:pPr>
      <w:keepNext/>
      <w:keepLines/>
      <w:spacing w:before="200" w:after="0"/>
      <w:outlineLvl w:val="1"/>
    </w:pPr>
    <w:rPr>
      <w:rFonts w:ascii="DIN" w:eastAsiaTheme="majorEastAsia" w:hAnsi="DIN" w:cstheme="majorBidi"/>
      <w:bCs/>
      <w:color w:val="00849E"/>
      <w:sz w:val="36"/>
      <w:szCs w:val="26"/>
    </w:rPr>
  </w:style>
  <w:style w:type="paragraph" w:styleId="Heading3">
    <w:name w:val="heading 3"/>
    <w:basedOn w:val="Normal"/>
    <w:next w:val="Normal"/>
    <w:link w:val="Heading3Char"/>
    <w:uiPriority w:val="9"/>
    <w:qFormat/>
    <w:rsid w:val="00DF6A7F"/>
    <w:pPr>
      <w:keepNext/>
      <w:keepLines/>
      <w:spacing w:after="0" w:line="240" w:lineRule="auto"/>
      <w:outlineLvl w:val="2"/>
    </w:pPr>
    <w:rPr>
      <w:rFonts w:ascii="DIN" w:eastAsiaTheme="majorEastAsia" w:hAnsi="DIN" w:cstheme="majorBidi"/>
      <w:bCs/>
      <w:color w:val="00849E"/>
      <w:sz w:val="24"/>
    </w:rPr>
  </w:style>
  <w:style w:type="paragraph" w:styleId="Heading4">
    <w:name w:val="heading 4"/>
    <w:basedOn w:val="Normal"/>
    <w:next w:val="Normal"/>
    <w:link w:val="Heading4Char"/>
    <w:uiPriority w:val="9"/>
    <w:unhideWhenUsed/>
    <w:qFormat/>
    <w:rsid w:val="00106053"/>
    <w:pPr>
      <w:keepNext/>
      <w:keepLines/>
      <w:spacing w:before="200" w:after="0"/>
      <w:outlineLvl w:val="3"/>
    </w:pPr>
    <w:rPr>
      <w:rFonts w:ascii="DIN" w:eastAsiaTheme="majorEastAsia" w:hAnsi="DIN" w:cstheme="majorBidi"/>
      <w:bCs/>
      <w:iCs/>
      <w:color w:val="0084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42"/>
    <w:rPr>
      <w:rFonts w:ascii="DIN Light" w:hAnsi="DIN Light"/>
      <w:color w:val="404040" w:themeColor="text1" w:themeTint="BF"/>
      <w:sz w:val="20"/>
    </w:rPr>
  </w:style>
  <w:style w:type="paragraph" w:styleId="Footer">
    <w:name w:val="footer"/>
    <w:basedOn w:val="Normal"/>
    <w:link w:val="FooterChar"/>
    <w:uiPriority w:val="99"/>
    <w:unhideWhenUsed/>
    <w:rsid w:val="0068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42"/>
    <w:rPr>
      <w:rFonts w:ascii="DIN Light" w:hAnsi="DIN Light"/>
      <w:color w:val="404040" w:themeColor="text1" w:themeTint="BF"/>
      <w:sz w:val="20"/>
    </w:rPr>
  </w:style>
  <w:style w:type="paragraph" w:styleId="TOC1">
    <w:name w:val="toc 1"/>
    <w:basedOn w:val="Normal"/>
    <w:next w:val="Normal"/>
    <w:autoRedefine/>
    <w:uiPriority w:val="39"/>
    <w:unhideWhenUsed/>
    <w:rsid w:val="00686F42"/>
    <w:pPr>
      <w:widowControl w:val="0"/>
      <w:tabs>
        <w:tab w:val="right" w:leader="dot" w:pos="8730"/>
      </w:tabs>
      <w:overflowPunct w:val="0"/>
      <w:autoSpaceDE w:val="0"/>
      <w:autoSpaceDN w:val="0"/>
      <w:adjustRightInd w:val="0"/>
      <w:spacing w:before="120" w:after="100" w:line="261" w:lineRule="auto"/>
      <w:ind w:right="2494"/>
      <w:jc w:val="both"/>
    </w:pPr>
    <w:rPr>
      <w:rFonts w:ascii="Arial" w:eastAsia="Times New Roman" w:hAnsi="Arial" w:cs="Arial"/>
      <w:szCs w:val="20"/>
    </w:rPr>
  </w:style>
  <w:style w:type="table" w:styleId="TableGrid">
    <w:name w:val="Table Grid"/>
    <w:basedOn w:val="TableNormal"/>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86F42"/>
    <w:pPr>
      <w:spacing w:after="0" w:line="240" w:lineRule="auto"/>
    </w:pPr>
    <w:rPr>
      <w:color w:val="AD3A0B" w:themeColor="accent6" w:themeShade="BF"/>
    </w:rPr>
    <w:tblPr>
      <w:tblStyleRowBandSize w:val="1"/>
      <w:tblStyleColBandSize w:val="1"/>
      <w:tblBorders>
        <w:top w:val="single" w:sz="8" w:space="0" w:color="E84E0F" w:themeColor="accent6"/>
        <w:bottom w:val="single" w:sz="8" w:space="0" w:color="E84E0F" w:themeColor="accent6"/>
      </w:tblBorders>
    </w:tblPr>
    <w:tblStylePr w:type="fir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lastRow">
      <w:pPr>
        <w:spacing w:before="0" w:after="0" w:line="240" w:lineRule="auto"/>
      </w:pPr>
      <w:rPr>
        <w:b/>
        <w:bCs/>
      </w:rPr>
      <w:tblPr/>
      <w:tcPr>
        <w:tcBorders>
          <w:top w:val="single" w:sz="8" w:space="0" w:color="E84E0F" w:themeColor="accent6"/>
          <w:left w:val="nil"/>
          <w:bottom w:val="single" w:sz="8" w:space="0" w:color="E84E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1" w:themeFill="accent6" w:themeFillTint="3F"/>
      </w:tcPr>
    </w:tblStylePr>
    <w:tblStylePr w:type="band1Horz">
      <w:tblPr/>
      <w:tcPr>
        <w:tcBorders>
          <w:left w:val="nil"/>
          <w:right w:val="nil"/>
          <w:insideH w:val="nil"/>
          <w:insideV w:val="nil"/>
        </w:tcBorders>
        <w:shd w:val="clear" w:color="auto" w:fill="FBD2C1" w:themeFill="accent6" w:themeFillTint="3F"/>
      </w:tcPr>
    </w:tblStylePr>
  </w:style>
  <w:style w:type="table" w:styleId="MediumList1-Accent4">
    <w:name w:val="Medium List 1 Accent 4"/>
    <w:basedOn w:val="TableNormal"/>
    <w:uiPriority w:val="65"/>
    <w:rsid w:val="00686F42"/>
    <w:pPr>
      <w:spacing w:after="0" w:line="240" w:lineRule="auto"/>
    </w:pPr>
    <w:rPr>
      <w:color w:val="000000" w:themeColor="text1"/>
    </w:rPr>
    <w:tblPr>
      <w:tblStyleRowBandSize w:val="1"/>
      <w:tblStyleColBandSize w:val="1"/>
      <w:tblBorders>
        <w:top w:val="single" w:sz="8" w:space="0" w:color="7AA52C" w:themeColor="accent4"/>
        <w:bottom w:val="single" w:sz="8" w:space="0" w:color="7AA52C" w:themeColor="accent4"/>
      </w:tblBorders>
    </w:tblPr>
    <w:tblStylePr w:type="firstRow">
      <w:rPr>
        <w:rFonts w:asciiTheme="majorHAnsi" w:eastAsiaTheme="majorEastAsia" w:hAnsiTheme="majorHAnsi" w:cstheme="majorBidi"/>
      </w:rPr>
      <w:tblPr/>
      <w:tcPr>
        <w:tcBorders>
          <w:top w:val="nil"/>
          <w:bottom w:val="single" w:sz="8" w:space="0" w:color="7AA52C" w:themeColor="accent4"/>
        </w:tcBorders>
      </w:tcPr>
    </w:tblStylePr>
    <w:tblStylePr w:type="lastRow">
      <w:rPr>
        <w:b/>
        <w:bCs/>
        <w:color w:val="00023D" w:themeColor="text2"/>
      </w:rPr>
      <w:tblPr/>
      <w:tcPr>
        <w:tcBorders>
          <w:top w:val="single" w:sz="8" w:space="0" w:color="7AA52C" w:themeColor="accent4"/>
          <w:bottom w:val="single" w:sz="8" w:space="0" w:color="7AA52C" w:themeColor="accent4"/>
        </w:tcBorders>
      </w:tcPr>
    </w:tblStylePr>
    <w:tblStylePr w:type="firstCol">
      <w:rPr>
        <w:b/>
        <w:bCs/>
      </w:rPr>
    </w:tblStylePr>
    <w:tblStylePr w:type="lastCol">
      <w:rPr>
        <w:b/>
        <w:bCs/>
      </w:rPr>
      <w:tblPr/>
      <w:tcPr>
        <w:tcBorders>
          <w:top w:val="single" w:sz="8" w:space="0" w:color="7AA52C" w:themeColor="accent4"/>
          <w:bottom w:val="single" w:sz="8" w:space="0" w:color="7AA52C" w:themeColor="accent4"/>
        </w:tcBorders>
      </w:tcPr>
    </w:tblStylePr>
    <w:tblStylePr w:type="band1Vert">
      <w:tblPr/>
      <w:tcPr>
        <w:shd w:val="clear" w:color="auto" w:fill="DFEFC4" w:themeFill="accent4" w:themeFillTint="3F"/>
      </w:tcPr>
    </w:tblStylePr>
    <w:tblStylePr w:type="band1Horz">
      <w:tblPr/>
      <w:tcPr>
        <w:shd w:val="clear" w:color="auto" w:fill="DFEFC4" w:themeFill="accent4" w:themeFillTint="3F"/>
      </w:tcPr>
    </w:tblStylePr>
  </w:style>
  <w:style w:type="table" w:styleId="ColorfulList">
    <w:name w:val="Colorful List"/>
    <w:basedOn w:val="TableNormal"/>
    <w:uiPriority w:val="72"/>
    <w:rsid w:val="00686F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6F42"/>
    <w:pPr>
      <w:spacing w:after="0" w:line="240" w:lineRule="auto"/>
    </w:pPr>
    <w:rPr>
      <w:color w:val="000000" w:themeColor="text1"/>
    </w:rPr>
    <w:tblPr>
      <w:tblStyleRowBandSize w:val="1"/>
      <w:tblStyleColBandSize w:val="1"/>
    </w:tblPr>
    <w:tcPr>
      <w:shd w:val="clear" w:color="auto" w:fill="F4FBFA" w:themeFill="accent1" w:themeFillTint="19"/>
    </w:tcPr>
    <w:tblStylePr w:type="firstRow">
      <w:rPr>
        <w:b/>
        <w:bCs/>
        <w:color w:val="FFFFFF" w:themeColor="background1"/>
      </w:rPr>
      <w:tblPr/>
      <w:tcPr>
        <w:tcBorders>
          <w:bottom w:val="single" w:sz="12" w:space="0" w:color="FFFFFF" w:themeColor="background1"/>
        </w:tcBorders>
        <w:shd w:val="clear" w:color="auto" w:fill="A80C3C" w:themeFill="accent2" w:themeFillShade="CC"/>
      </w:tcPr>
    </w:tblStylePr>
    <w:tblStylePr w:type="lastRow">
      <w:rPr>
        <w:b/>
        <w:bCs/>
        <w:color w:val="A80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2" w:themeFill="accent1" w:themeFillTint="3F"/>
      </w:tcPr>
    </w:tblStylePr>
    <w:tblStylePr w:type="band1Horz">
      <w:tblPr/>
      <w:tcPr>
        <w:shd w:val="clear" w:color="auto" w:fill="EAF7F4" w:themeFill="accent1" w:themeFillTint="33"/>
      </w:tcPr>
    </w:tblStylePr>
  </w:style>
  <w:style w:type="table" w:styleId="MediumList1-Accent6">
    <w:name w:val="Medium List 1 Accent 6"/>
    <w:basedOn w:val="TableNormal"/>
    <w:uiPriority w:val="65"/>
    <w:rsid w:val="00686F42"/>
    <w:pPr>
      <w:spacing w:after="0" w:line="240" w:lineRule="auto"/>
    </w:pPr>
    <w:rPr>
      <w:color w:val="000000" w:themeColor="text1"/>
    </w:rPr>
    <w:tblPr>
      <w:tblStyleRowBandSize w:val="1"/>
      <w:tblStyleColBandSize w:val="1"/>
      <w:tblBorders>
        <w:top w:val="single" w:sz="8" w:space="0" w:color="E84E0F" w:themeColor="accent6"/>
        <w:bottom w:val="single" w:sz="8" w:space="0" w:color="E84E0F" w:themeColor="accent6"/>
      </w:tblBorders>
    </w:tblPr>
    <w:tblStylePr w:type="firstRow">
      <w:rPr>
        <w:rFonts w:asciiTheme="majorHAnsi" w:eastAsiaTheme="majorEastAsia" w:hAnsiTheme="majorHAnsi" w:cstheme="majorBidi"/>
      </w:rPr>
      <w:tblPr/>
      <w:tcPr>
        <w:tcBorders>
          <w:top w:val="nil"/>
          <w:bottom w:val="single" w:sz="8" w:space="0" w:color="E84E0F" w:themeColor="accent6"/>
        </w:tcBorders>
      </w:tcPr>
    </w:tblStylePr>
    <w:tblStylePr w:type="lastRow">
      <w:rPr>
        <w:b/>
        <w:bCs/>
        <w:color w:val="00023D" w:themeColor="text2"/>
      </w:rPr>
      <w:tblPr/>
      <w:tcPr>
        <w:tcBorders>
          <w:top w:val="single" w:sz="8" w:space="0" w:color="E84E0F" w:themeColor="accent6"/>
          <w:bottom w:val="single" w:sz="8" w:space="0" w:color="E84E0F" w:themeColor="accent6"/>
        </w:tcBorders>
      </w:tcPr>
    </w:tblStylePr>
    <w:tblStylePr w:type="firstCol">
      <w:rPr>
        <w:b/>
        <w:bCs/>
      </w:rPr>
    </w:tblStylePr>
    <w:tblStylePr w:type="lastCol">
      <w:rPr>
        <w:b/>
        <w:bCs/>
      </w:rPr>
      <w:tblPr/>
      <w:tcPr>
        <w:tcBorders>
          <w:top w:val="single" w:sz="8" w:space="0" w:color="E84E0F" w:themeColor="accent6"/>
          <w:bottom w:val="single" w:sz="8" w:space="0" w:color="E84E0F" w:themeColor="accent6"/>
        </w:tcBorders>
      </w:tcPr>
    </w:tblStylePr>
    <w:tblStylePr w:type="band1Vert">
      <w:tblPr/>
      <w:tcPr>
        <w:shd w:val="clear" w:color="auto" w:fill="FBD2C1" w:themeFill="accent6" w:themeFillTint="3F"/>
      </w:tcPr>
    </w:tblStylePr>
    <w:tblStylePr w:type="band1Horz">
      <w:tblPr/>
      <w:tcPr>
        <w:shd w:val="clear" w:color="auto" w:fill="FBD2C1" w:themeFill="accent6" w:themeFillTint="3F"/>
      </w:tcPr>
    </w:tblStylePr>
  </w:style>
  <w:style w:type="table" w:styleId="MediumList1-Accent5">
    <w:name w:val="Medium List 1 Accent 5"/>
    <w:basedOn w:val="TableNormal"/>
    <w:uiPriority w:val="65"/>
    <w:rsid w:val="00686F42"/>
    <w:pPr>
      <w:spacing w:after="0" w:line="240" w:lineRule="auto"/>
    </w:pPr>
    <w:rPr>
      <w:color w:val="000000" w:themeColor="text1"/>
    </w:rPr>
    <w:tblPr>
      <w:tblStyleRowBandSize w:val="1"/>
      <w:tblStyleColBandSize w:val="1"/>
      <w:tblBorders>
        <w:top w:val="single" w:sz="8" w:space="0" w:color="00849E" w:themeColor="accent5"/>
        <w:bottom w:val="single" w:sz="8" w:space="0" w:color="00849E" w:themeColor="accent5"/>
      </w:tblBorders>
    </w:tblPr>
    <w:tblStylePr w:type="firstRow">
      <w:rPr>
        <w:rFonts w:asciiTheme="majorHAnsi" w:eastAsiaTheme="majorEastAsia" w:hAnsiTheme="majorHAnsi" w:cstheme="majorBidi"/>
      </w:rPr>
      <w:tblPr/>
      <w:tcPr>
        <w:tcBorders>
          <w:top w:val="nil"/>
          <w:bottom w:val="single" w:sz="8" w:space="0" w:color="00849E" w:themeColor="accent5"/>
        </w:tcBorders>
      </w:tcPr>
    </w:tblStylePr>
    <w:tblStylePr w:type="lastRow">
      <w:rPr>
        <w:b/>
        <w:bCs/>
        <w:color w:val="00023D" w:themeColor="text2"/>
      </w:rPr>
      <w:tblPr/>
      <w:tcPr>
        <w:tcBorders>
          <w:top w:val="single" w:sz="8" w:space="0" w:color="00849E" w:themeColor="accent5"/>
          <w:bottom w:val="single" w:sz="8" w:space="0" w:color="00849E" w:themeColor="accent5"/>
        </w:tcBorders>
      </w:tcPr>
    </w:tblStylePr>
    <w:tblStylePr w:type="firstCol">
      <w:rPr>
        <w:b/>
        <w:bCs/>
      </w:rPr>
    </w:tblStylePr>
    <w:tblStylePr w:type="lastCol">
      <w:rPr>
        <w:b/>
        <w:bCs/>
      </w:rPr>
      <w:tblPr/>
      <w:tcPr>
        <w:tcBorders>
          <w:top w:val="single" w:sz="8" w:space="0" w:color="00849E" w:themeColor="accent5"/>
          <w:bottom w:val="single" w:sz="8" w:space="0" w:color="00849E" w:themeColor="accent5"/>
        </w:tcBorders>
      </w:tcPr>
    </w:tblStylePr>
    <w:tblStylePr w:type="band1Vert">
      <w:tblPr/>
      <w:tcPr>
        <w:shd w:val="clear" w:color="auto" w:fill="A8F0FF" w:themeFill="accent5" w:themeFillTint="3F"/>
      </w:tcPr>
    </w:tblStylePr>
    <w:tblStylePr w:type="band1Horz">
      <w:tblPr/>
      <w:tcPr>
        <w:shd w:val="clear" w:color="auto" w:fill="A8F0FF" w:themeFill="accent5" w:themeFillTint="3F"/>
      </w:tcPr>
    </w:tblStylePr>
  </w:style>
  <w:style w:type="paragraph" w:styleId="BodyText">
    <w:name w:val="Body Text"/>
    <w:basedOn w:val="Normal"/>
    <w:link w:val="BodyTextChar"/>
    <w:semiHidden/>
    <w:rsid w:val="00686F42"/>
    <w:pPr>
      <w:spacing w:after="120" w:line="240" w:lineRule="auto"/>
    </w:pPr>
    <w:rPr>
      <w:rFonts w:ascii="Helvetica" w:eastAsia="Times New Roman" w:hAnsi="Helvetica" w:cs="Tahoma"/>
      <w:szCs w:val="20"/>
      <w:lang w:eastAsia="en-US"/>
    </w:rPr>
  </w:style>
  <w:style w:type="character" w:customStyle="1" w:styleId="BodyTextChar">
    <w:name w:val="Body Text Char"/>
    <w:basedOn w:val="DefaultParagraphFont"/>
    <w:link w:val="BodyText"/>
    <w:semiHidden/>
    <w:rsid w:val="00686F42"/>
    <w:rPr>
      <w:rFonts w:ascii="Helvetica" w:eastAsia="Times New Roman" w:hAnsi="Helvetica" w:cs="Tahoma"/>
      <w:color w:val="404040" w:themeColor="text1" w:themeTint="BF"/>
      <w:sz w:val="20"/>
      <w:szCs w:val="20"/>
      <w:lang w:eastAsia="en-US"/>
    </w:rPr>
  </w:style>
  <w:style w:type="character" w:styleId="Hyperlink">
    <w:name w:val="Hyperlink"/>
    <w:uiPriority w:val="99"/>
    <w:unhideWhenUsed/>
    <w:rsid w:val="00686F42"/>
    <w:rPr>
      <w:rFonts w:ascii="DIN Light" w:hAnsi="DIN Light"/>
      <w:color w:val="D30F4C" w:themeColor="accent2"/>
      <w:sz w:val="20"/>
      <w:u w:val="single"/>
    </w:rPr>
  </w:style>
  <w:style w:type="character" w:customStyle="1" w:styleId="Heading1Char">
    <w:name w:val="Heading 1 Char"/>
    <w:basedOn w:val="DefaultParagraphFont"/>
    <w:link w:val="Heading1"/>
    <w:uiPriority w:val="9"/>
    <w:rsid w:val="00106053"/>
    <w:rPr>
      <w:rFonts w:ascii="DIN" w:eastAsiaTheme="majorEastAsia" w:hAnsi="DIN" w:cstheme="majorBidi"/>
      <w:bCs/>
      <w:color w:val="00849E"/>
      <w:sz w:val="44"/>
      <w:szCs w:val="28"/>
    </w:rPr>
  </w:style>
  <w:style w:type="paragraph" w:styleId="BalloonText">
    <w:name w:val="Balloon Text"/>
    <w:basedOn w:val="Normal"/>
    <w:link w:val="BalloonTextChar"/>
    <w:uiPriority w:val="99"/>
    <w:semiHidden/>
    <w:unhideWhenUsed/>
    <w:rsid w:val="0068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42"/>
    <w:rPr>
      <w:rFonts w:ascii="Tahoma" w:hAnsi="Tahoma" w:cs="Tahoma"/>
      <w:color w:val="404040" w:themeColor="text1" w:themeTint="BF"/>
      <w:sz w:val="16"/>
      <w:szCs w:val="16"/>
    </w:rPr>
  </w:style>
  <w:style w:type="table" w:customStyle="1" w:styleId="TableGridLight1">
    <w:name w:val="Table Grid Light1"/>
    <w:basedOn w:val="TableNormal"/>
    <w:uiPriority w:val="40"/>
    <w:rsid w:val="00686F42"/>
    <w:pPr>
      <w:spacing w:after="0" w:line="240" w:lineRule="auto"/>
    </w:pPr>
    <w:rPr>
      <w:rFonts w:ascii="Arial" w:eastAsiaTheme="minorHAnsi" w:hAnsi="Arial"/>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8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053"/>
    <w:rPr>
      <w:rFonts w:ascii="DIN" w:eastAsiaTheme="majorEastAsia" w:hAnsi="DIN" w:cstheme="majorBidi"/>
      <w:bCs/>
      <w:color w:val="00849E"/>
      <w:sz w:val="36"/>
      <w:szCs w:val="26"/>
    </w:rPr>
  </w:style>
  <w:style w:type="character" w:customStyle="1" w:styleId="Heading3Char">
    <w:name w:val="Heading 3 Char"/>
    <w:basedOn w:val="DefaultParagraphFont"/>
    <w:link w:val="Heading3"/>
    <w:uiPriority w:val="9"/>
    <w:rsid w:val="00DF6A7F"/>
    <w:rPr>
      <w:rFonts w:ascii="DIN" w:eastAsiaTheme="majorEastAsia" w:hAnsi="DIN" w:cstheme="majorBidi"/>
      <w:bCs/>
      <w:color w:val="00849E"/>
      <w:sz w:val="24"/>
    </w:rPr>
  </w:style>
  <w:style w:type="paragraph" w:styleId="Subtitle">
    <w:name w:val="Subtitle"/>
    <w:basedOn w:val="Normal"/>
    <w:next w:val="Normal"/>
    <w:link w:val="SubtitleChar"/>
    <w:uiPriority w:val="11"/>
    <w:qFormat/>
    <w:rsid w:val="00106053"/>
    <w:pPr>
      <w:numPr>
        <w:ilvl w:val="1"/>
      </w:numPr>
      <w:jc w:val="right"/>
    </w:pPr>
    <w:rPr>
      <w:rFonts w:eastAsiaTheme="majorEastAsia" w:cstheme="majorBidi"/>
      <w:iCs/>
      <w:color w:val="D30F4C" w:themeColor="accent2"/>
      <w:spacing w:val="15"/>
      <w:szCs w:val="24"/>
    </w:rPr>
  </w:style>
  <w:style w:type="character" w:customStyle="1" w:styleId="SubtitleChar">
    <w:name w:val="Subtitle Char"/>
    <w:basedOn w:val="DefaultParagraphFont"/>
    <w:link w:val="Subtitle"/>
    <w:uiPriority w:val="11"/>
    <w:rsid w:val="00106053"/>
    <w:rPr>
      <w:rFonts w:ascii="DIN Light" w:eastAsiaTheme="majorEastAsia" w:hAnsi="DIN Light" w:cstheme="majorBidi"/>
      <w:iCs/>
      <w:color w:val="D30F4C" w:themeColor="accent2"/>
      <w:spacing w:val="15"/>
      <w:sz w:val="20"/>
      <w:szCs w:val="24"/>
    </w:rPr>
  </w:style>
  <w:style w:type="paragraph" w:styleId="NoSpacing">
    <w:name w:val="No Spacing"/>
    <w:uiPriority w:val="1"/>
    <w:qFormat/>
    <w:rsid w:val="00106053"/>
    <w:pPr>
      <w:spacing w:after="0" w:line="240" w:lineRule="auto"/>
    </w:pPr>
    <w:rPr>
      <w:rFonts w:ascii="DIN Light" w:hAnsi="DIN Light"/>
      <w:color w:val="404040" w:themeColor="text1" w:themeTint="BF"/>
      <w:sz w:val="20"/>
    </w:rPr>
  </w:style>
  <w:style w:type="character" w:customStyle="1" w:styleId="Heading4Char">
    <w:name w:val="Heading 4 Char"/>
    <w:basedOn w:val="DefaultParagraphFont"/>
    <w:link w:val="Heading4"/>
    <w:uiPriority w:val="9"/>
    <w:rsid w:val="00106053"/>
    <w:rPr>
      <w:rFonts w:ascii="DIN" w:eastAsiaTheme="majorEastAsia" w:hAnsi="DIN" w:cstheme="majorBidi"/>
      <w:bCs/>
      <w:iCs/>
      <w:color w:val="00849E"/>
      <w:sz w:val="20"/>
    </w:rPr>
  </w:style>
  <w:style w:type="paragraph" w:styleId="NormalWeb">
    <w:name w:val="Normal (Web)"/>
    <w:basedOn w:val="Normal"/>
    <w:uiPriority w:val="99"/>
    <w:unhideWhenUsed/>
    <w:rsid w:val="000C20A3"/>
    <w:rPr>
      <w:rFonts w:ascii="Times New Roman" w:hAnsi="Times New Roman" w:cs="Times New Roman"/>
      <w:sz w:val="24"/>
      <w:szCs w:val="24"/>
    </w:rPr>
  </w:style>
  <w:style w:type="paragraph" w:styleId="TOC2">
    <w:name w:val="toc 2"/>
    <w:basedOn w:val="Normal"/>
    <w:next w:val="Normal"/>
    <w:autoRedefine/>
    <w:uiPriority w:val="39"/>
    <w:unhideWhenUsed/>
    <w:rsid w:val="007846E4"/>
    <w:pPr>
      <w:spacing w:after="100"/>
      <w:ind w:left="200"/>
    </w:pPr>
  </w:style>
  <w:style w:type="paragraph" w:styleId="ListParagraph">
    <w:name w:val="List Paragraph"/>
    <w:basedOn w:val="Normal"/>
    <w:qFormat/>
    <w:rsid w:val="00ED4FFF"/>
    <w:pPr>
      <w:ind w:left="720"/>
      <w:contextualSpacing/>
    </w:pPr>
  </w:style>
  <w:style w:type="character" w:styleId="CommentReference">
    <w:name w:val="annotation reference"/>
    <w:basedOn w:val="DefaultParagraphFont"/>
    <w:uiPriority w:val="99"/>
    <w:semiHidden/>
    <w:unhideWhenUsed/>
    <w:rsid w:val="005B48B4"/>
    <w:rPr>
      <w:sz w:val="16"/>
      <w:szCs w:val="16"/>
    </w:rPr>
  </w:style>
  <w:style w:type="paragraph" w:styleId="CommentText">
    <w:name w:val="annotation text"/>
    <w:basedOn w:val="Normal"/>
    <w:link w:val="CommentTextChar"/>
    <w:uiPriority w:val="99"/>
    <w:semiHidden/>
    <w:unhideWhenUsed/>
    <w:rsid w:val="005B48B4"/>
    <w:pPr>
      <w:spacing w:line="240" w:lineRule="auto"/>
    </w:pPr>
    <w:rPr>
      <w:szCs w:val="20"/>
    </w:rPr>
  </w:style>
  <w:style w:type="character" w:customStyle="1" w:styleId="CommentTextChar">
    <w:name w:val="Comment Text Char"/>
    <w:basedOn w:val="DefaultParagraphFont"/>
    <w:link w:val="CommentText"/>
    <w:uiPriority w:val="99"/>
    <w:semiHidden/>
    <w:rsid w:val="005B48B4"/>
    <w:rPr>
      <w:rFonts w:ascii="DIN Light" w:hAnsi="DIN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B48B4"/>
    <w:rPr>
      <w:b/>
      <w:bCs/>
    </w:rPr>
  </w:style>
  <w:style w:type="character" w:customStyle="1" w:styleId="CommentSubjectChar">
    <w:name w:val="Comment Subject Char"/>
    <w:basedOn w:val="CommentTextChar"/>
    <w:link w:val="CommentSubject"/>
    <w:uiPriority w:val="99"/>
    <w:semiHidden/>
    <w:rsid w:val="005B48B4"/>
    <w:rPr>
      <w:rFonts w:ascii="DIN Light" w:hAnsi="DIN Light"/>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829">
      <w:bodyDiv w:val="1"/>
      <w:marLeft w:val="0"/>
      <w:marRight w:val="0"/>
      <w:marTop w:val="0"/>
      <w:marBottom w:val="0"/>
      <w:divBdr>
        <w:top w:val="none" w:sz="0" w:space="0" w:color="auto"/>
        <w:left w:val="none" w:sz="0" w:space="0" w:color="auto"/>
        <w:bottom w:val="none" w:sz="0" w:space="0" w:color="auto"/>
        <w:right w:val="none" w:sz="0" w:space="0" w:color="auto"/>
      </w:divBdr>
    </w:div>
    <w:div w:id="811096249">
      <w:bodyDiv w:val="1"/>
      <w:marLeft w:val="0"/>
      <w:marRight w:val="0"/>
      <w:marTop w:val="0"/>
      <w:marBottom w:val="0"/>
      <w:divBdr>
        <w:top w:val="none" w:sz="0" w:space="0" w:color="auto"/>
        <w:left w:val="none" w:sz="0" w:space="0" w:color="auto"/>
        <w:bottom w:val="none" w:sz="0" w:space="0" w:color="auto"/>
        <w:right w:val="none" w:sz="0" w:space="0" w:color="auto"/>
      </w:divBdr>
    </w:div>
    <w:div w:id="1328481147">
      <w:bodyDiv w:val="1"/>
      <w:marLeft w:val="0"/>
      <w:marRight w:val="0"/>
      <w:marTop w:val="0"/>
      <w:marBottom w:val="0"/>
      <w:divBdr>
        <w:top w:val="none" w:sz="0" w:space="0" w:color="auto"/>
        <w:left w:val="none" w:sz="0" w:space="0" w:color="auto"/>
        <w:bottom w:val="none" w:sz="0" w:space="0" w:color="auto"/>
        <w:right w:val="none" w:sz="0" w:space="0" w:color="auto"/>
      </w:divBdr>
    </w:div>
    <w:div w:id="1440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Langran\Downloads\Blank%20portrait%20with%20pink%20footer%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23D"/>
      </a:dk2>
      <a:lt2>
        <a:srgbClr val="EEECE1"/>
      </a:lt2>
      <a:accent1>
        <a:srgbClr val="9AD7CC"/>
      </a:accent1>
      <a:accent2>
        <a:srgbClr val="D30F4C"/>
      </a:accent2>
      <a:accent3>
        <a:srgbClr val="00B7E3"/>
      </a:accent3>
      <a:accent4>
        <a:srgbClr val="7AA52C"/>
      </a:accent4>
      <a:accent5>
        <a:srgbClr val="00849E"/>
      </a:accent5>
      <a:accent6>
        <a:srgbClr val="E84E0F"/>
      </a:accent6>
      <a:hlink>
        <a:srgbClr val="333B8F"/>
      </a:hlink>
      <a:folHlink>
        <a:srgbClr val="6900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BBE2C5B847046AA20C97D7222CBBE" ma:contentTypeVersion="1" ma:contentTypeDescription="Create a new document." ma:contentTypeScope="" ma:versionID="bbea1e8decd81e48492ecff9f33873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A3C7-4A7E-46C0-9DD7-9E79347A14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009E1-B641-478B-94AE-E291CE0F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29F07-8137-4AEE-A380-E9567A37F6FD}">
  <ds:schemaRefs>
    <ds:schemaRef ds:uri="http://schemas.microsoft.com/sharepoint/v3/contenttype/forms"/>
  </ds:schemaRefs>
</ds:datastoreItem>
</file>

<file path=customXml/itemProps4.xml><?xml version="1.0" encoding="utf-8"?>
<ds:datastoreItem xmlns:ds="http://schemas.openxmlformats.org/officeDocument/2006/customXml" ds:itemID="{D3A20D21-EC47-4B09-ACA1-ACEC6591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with pink footer template.dotx</Template>
  <TotalTime>0</TotalTime>
  <Pages>1</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HWB Ltd</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Langran</dc:creator>
  <cp:lastModifiedBy>Michaela Johns</cp:lastModifiedBy>
  <cp:revision>3</cp:revision>
  <cp:lastPrinted>2020-03-27T15:29:00Z</cp:lastPrinted>
  <dcterms:created xsi:type="dcterms:W3CDTF">2020-04-08T09:43:00Z</dcterms:created>
  <dcterms:modified xsi:type="dcterms:W3CDTF">2020-04-08T09:43:00Z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0x010100887BBE2C5B847046AA20C97D7222CBBE</vt:lpwstr>
  </property>
</Properties>
</file>